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C5" w:rsidRPr="00782838" w:rsidRDefault="00782838" w:rsidP="00782838">
      <w:pPr>
        <w:jc w:val="both"/>
        <w:rPr>
          <w:rFonts w:ascii="Arial" w:hAnsi="Arial" w:cs="Arial"/>
          <w:b/>
          <w:sz w:val="24"/>
          <w:szCs w:val="24"/>
        </w:rPr>
      </w:pPr>
      <w:r w:rsidRPr="00782838">
        <w:rPr>
          <w:rFonts w:ascii="Arial" w:hAnsi="Arial" w:cs="Arial"/>
          <w:b/>
          <w:sz w:val="24"/>
          <w:szCs w:val="24"/>
        </w:rPr>
        <w:t>INFORME DE PONENCIA NEGATIVA PARA PRIMER DEBATE EN PRIMERA VUELTA AL PROYECTO DE ACTO LEGISLATIVO NO. 215 DE 2022 CAMARA</w:t>
      </w:r>
      <w:r>
        <w:rPr>
          <w:rFonts w:ascii="Arial" w:hAnsi="Arial" w:cs="Arial"/>
          <w:b/>
          <w:sz w:val="24"/>
          <w:szCs w:val="24"/>
        </w:rPr>
        <w:t xml:space="preserve"> </w:t>
      </w:r>
      <w:r w:rsidRPr="00782838">
        <w:rPr>
          <w:rFonts w:ascii="Arial" w:hAnsi="Arial" w:cs="Arial"/>
          <w:b/>
          <w:sz w:val="24"/>
          <w:szCs w:val="24"/>
        </w:rPr>
        <w:t>“POR MEDIO DEL CUAL SE MODIFICAN LOS ARTÍCULOS 322 Y 326 DE LA CONSTITUCIÓN POLÍTICA”</w:t>
      </w:r>
    </w:p>
    <w:p w:rsidR="00297110" w:rsidRPr="00782838" w:rsidRDefault="00297110" w:rsidP="003E35C7">
      <w:pPr>
        <w:rPr>
          <w:rFonts w:ascii="Arial" w:hAnsi="Arial" w:cs="Arial"/>
          <w:b/>
          <w:sz w:val="24"/>
          <w:szCs w:val="24"/>
        </w:rPr>
      </w:pPr>
    </w:p>
    <w:p w:rsidR="007F2AC5" w:rsidRPr="00297110" w:rsidRDefault="007F2AC5" w:rsidP="003E35C7">
      <w:pPr>
        <w:rPr>
          <w:rFonts w:ascii="Arial" w:hAnsi="Arial" w:cs="Arial"/>
          <w:sz w:val="24"/>
          <w:szCs w:val="24"/>
        </w:rPr>
      </w:pPr>
      <w:r w:rsidRPr="00297110">
        <w:rPr>
          <w:rFonts w:ascii="Arial" w:hAnsi="Arial" w:cs="Arial"/>
          <w:sz w:val="24"/>
          <w:szCs w:val="24"/>
        </w:rPr>
        <w:t xml:space="preserve">Bogotá, D.C. </w:t>
      </w:r>
      <w:r w:rsidR="00E52BBF" w:rsidRPr="00297110">
        <w:rPr>
          <w:rFonts w:ascii="Arial" w:hAnsi="Arial" w:cs="Arial"/>
          <w:sz w:val="24"/>
          <w:szCs w:val="24"/>
        </w:rPr>
        <w:t>octubre</w:t>
      </w:r>
      <w:r w:rsidRPr="00297110">
        <w:rPr>
          <w:rFonts w:ascii="Arial" w:hAnsi="Arial" w:cs="Arial"/>
          <w:sz w:val="24"/>
          <w:szCs w:val="24"/>
        </w:rPr>
        <w:t xml:space="preserve"> de 2022 </w:t>
      </w:r>
    </w:p>
    <w:p w:rsidR="007F2AC5" w:rsidRPr="00297110" w:rsidRDefault="007F2AC5" w:rsidP="003E35C7">
      <w:pPr>
        <w:rPr>
          <w:rFonts w:ascii="Arial" w:hAnsi="Arial" w:cs="Arial"/>
          <w:sz w:val="24"/>
          <w:szCs w:val="24"/>
        </w:rPr>
      </w:pPr>
    </w:p>
    <w:p w:rsidR="007F2AC5" w:rsidRPr="00297110" w:rsidRDefault="007F2AC5" w:rsidP="003E35C7">
      <w:pPr>
        <w:rPr>
          <w:rFonts w:ascii="Arial" w:hAnsi="Arial" w:cs="Arial"/>
          <w:sz w:val="24"/>
          <w:szCs w:val="24"/>
        </w:rPr>
      </w:pPr>
      <w:r w:rsidRPr="00297110">
        <w:rPr>
          <w:rFonts w:ascii="Arial" w:hAnsi="Arial" w:cs="Arial"/>
          <w:sz w:val="24"/>
          <w:szCs w:val="24"/>
        </w:rPr>
        <w:t xml:space="preserve">Honorable Representante </w:t>
      </w:r>
      <w:r w:rsidR="003E35C7" w:rsidRPr="00297110">
        <w:rPr>
          <w:rFonts w:ascii="Arial" w:hAnsi="Arial" w:cs="Arial"/>
          <w:sz w:val="24"/>
          <w:szCs w:val="24"/>
        </w:rPr>
        <w:br/>
      </w:r>
      <w:r w:rsidRPr="00297110">
        <w:rPr>
          <w:rFonts w:ascii="Arial" w:hAnsi="Arial" w:cs="Arial"/>
          <w:b/>
          <w:sz w:val="24"/>
          <w:szCs w:val="24"/>
        </w:rPr>
        <w:t>JUAN CARLOS WILLS OSPINA</w:t>
      </w:r>
      <w:r w:rsidR="003E35C7" w:rsidRPr="00297110">
        <w:rPr>
          <w:rFonts w:ascii="Arial" w:hAnsi="Arial" w:cs="Arial"/>
          <w:sz w:val="24"/>
          <w:szCs w:val="24"/>
        </w:rPr>
        <w:br/>
      </w:r>
      <w:r w:rsidRPr="00297110">
        <w:rPr>
          <w:rFonts w:ascii="Arial" w:hAnsi="Arial" w:cs="Arial"/>
          <w:sz w:val="24"/>
          <w:szCs w:val="24"/>
        </w:rPr>
        <w:t xml:space="preserve">Presidente </w:t>
      </w:r>
      <w:r w:rsidR="003E35C7" w:rsidRPr="00297110">
        <w:rPr>
          <w:rFonts w:ascii="Arial" w:hAnsi="Arial" w:cs="Arial"/>
          <w:sz w:val="24"/>
          <w:szCs w:val="24"/>
        </w:rPr>
        <w:br/>
      </w:r>
      <w:r w:rsidRPr="00297110">
        <w:rPr>
          <w:rFonts w:ascii="Arial" w:hAnsi="Arial" w:cs="Arial"/>
          <w:sz w:val="24"/>
          <w:szCs w:val="24"/>
        </w:rPr>
        <w:t xml:space="preserve">Comisión Primera </w:t>
      </w:r>
      <w:r w:rsidR="003E35C7" w:rsidRPr="00297110">
        <w:rPr>
          <w:rFonts w:ascii="Arial" w:hAnsi="Arial" w:cs="Arial"/>
          <w:sz w:val="24"/>
          <w:szCs w:val="24"/>
        </w:rPr>
        <w:br/>
      </w:r>
      <w:r w:rsidRPr="00297110">
        <w:rPr>
          <w:rFonts w:ascii="Arial" w:hAnsi="Arial" w:cs="Arial"/>
          <w:sz w:val="24"/>
          <w:szCs w:val="24"/>
        </w:rPr>
        <w:t>Cámara de Representantes</w:t>
      </w:r>
    </w:p>
    <w:p w:rsidR="007F2AC5" w:rsidRPr="00297110" w:rsidRDefault="007F2AC5" w:rsidP="003E35C7">
      <w:pPr>
        <w:rPr>
          <w:rFonts w:ascii="Arial" w:hAnsi="Arial" w:cs="Arial"/>
          <w:sz w:val="24"/>
          <w:szCs w:val="24"/>
        </w:rPr>
      </w:pPr>
    </w:p>
    <w:p w:rsidR="007F2AC5" w:rsidRPr="00297110" w:rsidRDefault="007F2AC5" w:rsidP="003E35C7">
      <w:pPr>
        <w:rPr>
          <w:rFonts w:ascii="Arial" w:hAnsi="Arial" w:cs="Arial"/>
          <w:sz w:val="24"/>
          <w:szCs w:val="24"/>
        </w:rPr>
      </w:pPr>
      <w:r w:rsidRPr="00297110">
        <w:rPr>
          <w:rFonts w:ascii="Arial" w:hAnsi="Arial" w:cs="Arial"/>
          <w:sz w:val="24"/>
          <w:szCs w:val="24"/>
        </w:rPr>
        <w:t>Referencia: Informe de Ponencia negativa para primer debate en primera vuelta al Proyecto de Acto Legislativo No. 2</w:t>
      </w:r>
      <w:r w:rsidR="00E52BBF" w:rsidRPr="00297110">
        <w:rPr>
          <w:rFonts w:ascii="Arial" w:hAnsi="Arial" w:cs="Arial"/>
          <w:sz w:val="24"/>
          <w:szCs w:val="24"/>
        </w:rPr>
        <w:t>15</w:t>
      </w:r>
      <w:r w:rsidRPr="00297110">
        <w:rPr>
          <w:rFonts w:ascii="Arial" w:hAnsi="Arial" w:cs="Arial"/>
          <w:sz w:val="24"/>
          <w:szCs w:val="24"/>
        </w:rPr>
        <w:t xml:space="preserve"> de 2022 Cámara</w:t>
      </w:r>
    </w:p>
    <w:p w:rsidR="007F2AC5" w:rsidRPr="00297110" w:rsidRDefault="007F2AC5" w:rsidP="003E35C7">
      <w:pPr>
        <w:rPr>
          <w:rFonts w:ascii="Arial" w:hAnsi="Arial" w:cs="Arial"/>
          <w:sz w:val="24"/>
          <w:szCs w:val="24"/>
        </w:rPr>
      </w:pPr>
    </w:p>
    <w:p w:rsidR="007F2AC5" w:rsidRPr="00297110" w:rsidRDefault="007F2AC5" w:rsidP="003E35C7">
      <w:pPr>
        <w:rPr>
          <w:rFonts w:ascii="Arial" w:hAnsi="Arial" w:cs="Arial"/>
          <w:sz w:val="24"/>
          <w:szCs w:val="24"/>
        </w:rPr>
      </w:pPr>
      <w:r w:rsidRPr="00297110">
        <w:rPr>
          <w:rFonts w:ascii="Arial" w:hAnsi="Arial" w:cs="Arial"/>
          <w:sz w:val="24"/>
          <w:szCs w:val="24"/>
        </w:rPr>
        <w:t xml:space="preserve">Honorables Representantes: </w:t>
      </w:r>
    </w:p>
    <w:p w:rsidR="007F2AC5" w:rsidRPr="00297110" w:rsidRDefault="007F2AC5" w:rsidP="00297110">
      <w:pPr>
        <w:jc w:val="both"/>
        <w:rPr>
          <w:rFonts w:ascii="Arial" w:hAnsi="Arial" w:cs="Arial"/>
          <w:sz w:val="24"/>
          <w:szCs w:val="24"/>
        </w:rPr>
      </w:pPr>
      <w:r w:rsidRPr="00297110">
        <w:rPr>
          <w:rFonts w:ascii="Arial" w:hAnsi="Arial" w:cs="Arial"/>
          <w:sz w:val="24"/>
          <w:szCs w:val="24"/>
        </w:rPr>
        <w:t>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NEGATIVA para primer debate en primera vuelta al Pro</w:t>
      </w:r>
      <w:r w:rsidR="003E35C7" w:rsidRPr="00297110">
        <w:rPr>
          <w:rFonts w:ascii="Arial" w:hAnsi="Arial" w:cs="Arial"/>
          <w:sz w:val="24"/>
          <w:szCs w:val="24"/>
        </w:rPr>
        <w:t xml:space="preserve">yecto de Acto Legislativo No. </w:t>
      </w:r>
      <w:r w:rsidRPr="00297110">
        <w:rPr>
          <w:rFonts w:ascii="Arial" w:hAnsi="Arial" w:cs="Arial"/>
          <w:sz w:val="24"/>
          <w:szCs w:val="24"/>
        </w:rPr>
        <w:t>2</w:t>
      </w:r>
      <w:r w:rsidR="003E35C7" w:rsidRPr="00297110">
        <w:rPr>
          <w:rFonts w:ascii="Arial" w:hAnsi="Arial" w:cs="Arial"/>
          <w:sz w:val="24"/>
          <w:szCs w:val="24"/>
        </w:rPr>
        <w:t>15</w:t>
      </w:r>
      <w:r w:rsidRPr="00297110">
        <w:rPr>
          <w:rFonts w:ascii="Arial" w:hAnsi="Arial" w:cs="Arial"/>
          <w:sz w:val="24"/>
          <w:szCs w:val="24"/>
        </w:rPr>
        <w:t xml:space="preserve"> de 2022 Cámara, </w:t>
      </w:r>
      <w:r w:rsidR="003E35C7" w:rsidRPr="00297110">
        <w:rPr>
          <w:rFonts w:ascii="Arial" w:hAnsi="Arial" w:cs="Arial"/>
          <w:sz w:val="24"/>
          <w:szCs w:val="24"/>
        </w:rPr>
        <w:t>“Por medio del cual se modifican los artículos 322 y 326 de la constitución política”</w:t>
      </w:r>
      <w:r w:rsidRPr="00297110">
        <w:rPr>
          <w:rFonts w:ascii="Arial" w:hAnsi="Arial" w:cs="Arial"/>
          <w:sz w:val="24"/>
          <w:szCs w:val="24"/>
        </w:rPr>
        <w:t xml:space="preserve">, de acuerdo a los siguientes argumentos: </w:t>
      </w:r>
    </w:p>
    <w:p w:rsidR="007F2AC5" w:rsidRPr="00297110" w:rsidRDefault="00C61719" w:rsidP="00C61719">
      <w:pPr>
        <w:rPr>
          <w:rFonts w:ascii="Arial" w:hAnsi="Arial" w:cs="Arial"/>
          <w:sz w:val="24"/>
          <w:szCs w:val="24"/>
        </w:rPr>
      </w:pPr>
      <w:r w:rsidRPr="00297110">
        <w:rPr>
          <w:rFonts w:ascii="Arial" w:hAnsi="Arial" w:cs="Arial"/>
          <w:sz w:val="24"/>
          <w:szCs w:val="24"/>
        </w:rPr>
        <w:tab/>
      </w:r>
    </w:p>
    <w:p w:rsidR="007F2AC5" w:rsidRPr="00297110" w:rsidRDefault="007F2AC5" w:rsidP="00297110">
      <w:pPr>
        <w:pStyle w:val="Prrafodelista"/>
        <w:numPr>
          <w:ilvl w:val="0"/>
          <w:numId w:val="3"/>
        </w:numPr>
        <w:rPr>
          <w:rFonts w:ascii="Arial" w:hAnsi="Arial" w:cs="Arial"/>
          <w:b/>
          <w:sz w:val="24"/>
          <w:szCs w:val="24"/>
        </w:rPr>
      </w:pPr>
      <w:r w:rsidRPr="00297110">
        <w:rPr>
          <w:rFonts w:ascii="Arial" w:hAnsi="Arial" w:cs="Arial"/>
          <w:b/>
          <w:sz w:val="24"/>
          <w:szCs w:val="24"/>
        </w:rPr>
        <w:t>TRÁMITE DE LA INICIATIVA.</w:t>
      </w:r>
    </w:p>
    <w:p w:rsidR="003E35C7" w:rsidRPr="00297110" w:rsidRDefault="007F2AC5" w:rsidP="00297110">
      <w:pPr>
        <w:jc w:val="both"/>
        <w:rPr>
          <w:rFonts w:ascii="Arial" w:hAnsi="Arial" w:cs="Arial"/>
          <w:sz w:val="24"/>
          <w:szCs w:val="24"/>
        </w:rPr>
      </w:pPr>
      <w:r w:rsidRPr="00297110">
        <w:rPr>
          <w:rFonts w:ascii="Arial" w:hAnsi="Arial" w:cs="Arial"/>
          <w:sz w:val="24"/>
          <w:szCs w:val="24"/>
        </w:rPr>
        <w:t>El Proyec</w:t>
      </w:r>
      <w:r w:rsidR="003E35C7" w:rsidRPr="00297110">
        <w:rPr>
          <w:rFonts w:ascii="Arial" w:hAnsi="Arial" w:cs="Arial"/>
          <w:sz w:val="24"/>
          <w:szCs w:val="24"/>
        </w:rPr>
        <w:t xml:space="preserve">to de Acto Legislativo número </w:t>
      </w:r>
      <w:r w:rsidRPr="00297110">
        <w:rPr>
          <w:rFonts w:ascii="Arial" w:hAnsi="Arial" w:cs="Arial"/>
          <w:sz w:val="24"/>
          <w:szCs w:val="24"/>
        </w:rPr>
        <w:t>2</w:t>
      </w:r>
      <w:r w:rsidR="003E35C7" w:rsidRPr="00297110">
        <w:rPr>
          <w:rFonts w:ascii="Arial" w:hAnsi="Arial" w:cs="Arial"/>
          <w:sz w:val="24"/>
          <w:szCs w:val="24"/>
        </w:rPr>
        <w:t>15</w:t>
      </w:r>
      <w:r w:rsidRPr="00297110">
        <w:rPr>
          <w:rFonts w:ascii="Arial" w:hAnsi="Arial" w:cs="Arial"/>
          <w:sz w:val="24"/>
          <w:szCs w:val="24"/>
        </w:rPr>
        <w:t xml:space="preserve"> de 2022 Cámara fue radicado el día 2</w:t>
      </w:r>
      <w:r w:rsidR="003E35C7" w:rsidRPr="00297110">
        <w:rPr>
          <w:rFonts w:ascii="Arial" w:hAnsi="Arial" w:cs="Arial"/>
          <w:sz w:val="24"/>
          <w:szCs w:val="24"/>
        </w:rPr>
        <w:t>8</w:t>
      </w:r>
      <w:r w:rsidRPr="00297110">
        <w:rPr>
          <w:rFonts w:ascii="Arial" w:hAnsi="Arial" w:cs="Arial"/>
          <w:sz w:val="24"/>
          <w:szCs w:val="24"/>
        </w:rPr>
        <w:t xml:space="preserve"> de </w:t>
      </w:r>
      <w:r w:rsidR="003E35C7" w:rsidRPr="00297110">
        <w:rPr>
          <w:rFonts w:ascii="Arial" w:hAnsi="Arial" w:cs="Arial"/>
          <w:sz w:val="24"/>
          <w:szCs w:val="24"/>
        </w:rPr>
        <w:t xml:space="preserve">septiembre de 2022, por los Senadores </w:t>
      </w:r>
      <w:r w:rsidR="003E35C7" w:rsidRPr="00297110">
        <w:rPr>
          <w:rFonts w:ascii="Arial" w:hAnsi="Arial" w:cs="Arial"/>
          <w:sz w:val="24"/>
          <w:szCs w:val="24"/>
          <w:lang w:eastAsia="es-CO"/>
        </w:rPr>
        <w:t>Gustavo Adolfo Moreno Hurtado</w:t>
      </w:r>
      <w:r w:rsidR="003E35C7" w:rsidRPr="00297110">
        <w:rPr>
          <w:rFonts w:ascii="Arial" w:hAnsi="Arial" w:cs="Arial"/>
          <w:sz w:val="24"/>
          <w:szCs w:val="24"/>
        </w:rPr>
        <w:t xml:space="preserve"> </w:t>
      </w:r>
      <w:r w:rsidR="003E35C7" w:rsidRPr="00297110">
        <w:rPr>
          <w:rFonts w:ascii="Arial" w:hAnsi="Arial" w:cs="Arial"/>
          <w:sz w:val="24"/>
          <w:szCs w:val="24"/>
          <w:lang w:eastAsia="es-CO"/>
        </w:rPr>
        <w:t xml:space="preserve">Paulino </w:t>
      </w:r>
      <w:proofErr w:type="spellStart"/>
      <w:r w:rsidR="003E35C7" w:rsidRPr="00297110">
        <w:rPr>
          <w:rFonts w:ascii="Arial" w:hAnsi="Arial" w:cs="Arial"/>
          <w:sz w:val="24"/>
          <w:szCs w:val="24"/>
          <w:lang w:eastAsia="es-CO"/>
        </w:rPr>
        <w:t>Riascos</w:t>
      </w:r>
      <w:proofErr w:type="spellEnd"/>
      <w:r w:rsidR="003E35C7" w:rsidRPr="00297110">
        <w:rPr>
          <w:rFonts w:ascii="Arial" w:hAnsi="Arial" w:cs="Arial"/>
          <w:sz w:val="24"/>
          <w:szCs w:val="24"/>
          <w:lang w:eastAsia="es-CO"/>
        </w:rPr>
        <w:t xml:space="preserve"> </w:t>
      </w:r>
      <w:proofErr w:type="spellStart"/>
      <w:r w:rsidR="003E35C7" w:rsidRPr="00297110">
        <w:rPr>
          <w:rFonts w:ascii="Arial" w:hAnsi="Arial" w:cs="Arial"/>
          <w:sz w:val="24"/>
          <w:szCs w:val="24"/>
          <w:lang w:eastAsia="es-CO"/>
        </w:rPr>
        <w:t>Riascos</w:t>
      </w:r>
      <w:proofErr w:type="spellEnd"/>
      <w:r w:rsidR="003E35C7" w:rsidRPr="00297110">
        <w:rPr>
          <w:rFonts w:ascii="Arial" w:hAnsi="Arial" w:cs="Arial"/>
          <w:sz w:val="24"/>
          <w:szCs w:val="24"/>
          <w:lang w:eastAsia="es-CO"/>
        </w:rPr>
        <w:t xml:space="preserve">, Inti Raúl Asprilla Reyes </w:t>
      </w:r>
      <w:r w:rsidR="003E35C7" w:rsidRPr="00297110">
        <w:rPr>
          <w:rFonts w:ascii="Arial" w:hAnsi="Arial" w:cs="Arial"/>
          <w:sz w:val="24"/>
          <w:szCs w:val="24"/>
        </w:rPr>
        <w:t>y los representantes</w:t>
      </w:r>
      <w:r w:rsidR="003E35C7" w:rsidRPr="00297110">
        <w:rPr>
          <w:rFonts w:ascii="Arial" w:hAnsi="Arial" w:cs="Arial"/>
          <w:sz w:val="24"/>
          <w:szCs w:val="24"/>
          <w:lang w:eastAsia="es-CO"/>
        </w:rPr>
        <w:t xml:space="preserve">, David Ricardo Racero </w:t>
      </w:r>
      <w:proofErr w:type="spellStart"/>
      <w:r w:rsidR="003E35C7" w:rsidRPr="00297110">
        <w:rPr>
          <w:rFonts w:ascii="Arial" w:hAnsi="Arial" w:cs="Arial"/>
          <w:sz w:val="24"/>
          <w:szCs w:val="24"/>
          <w:lang w:eastAsia="es-CO"/>
        </w:rPr>
        <w:t>Mayorca</w:t>
      </w:r>
      <w:proofErr w:type="spellEnd"/>
      <w:r w:rsidR="003E35C7" w:rsidRPr="00297110">
        <w:rPr>
          <w:rFonts w:ascii="Arial" w:hAnsi="Arial" w:cs="Arial"/>
          <w:sz w:val="24"/>
          <w:szCs w:val="24"/>
          <w:lang w:eastAsia="es-CO"/>
        </w:rPr>
        <w:t xml:space="preserve"> , Gloria Liliana Rodríguez Valencia, Olga Lucia Velásquez Nieto, Karen </w:t>
      </w:r>
      <w:proofErr w:type="spellStart"/>
      <w:r w:rsidR="003E35C7" w:rsidRPr="00297110">
        <w:rPr>
          <w:rFonts w:ascii="Arial" w:hAnsi="Arial" w:cs="Arial"/>
          <w:sz w:val="24"/>
          <w:szCs w:val="24"/>
          <w:lang w:eastAsia="es-CO"/>
        </w:rPr>
        <w:t>Astrith</w:t>
      </w:r>
      <w:proofErr w:type="spellEnd"/>
      <w:r w:rsidR="003E35C7" w:rsidRPr="00297110">
        <w:rPr>
          <w:rFonts w:ascii="Arial" w:hAnsi="Arial" w:cs="Arial"/>
          <w:sz w:val="24"/>
          <w:szCs w:val="24"/>
          <w:lang w:eastAsia="es-CO"/>
        </w:rPr>
        <w:t xml:space="preserve"> Manrique Olarte , Karen Juliana López Salazar, </w:t>
      </w:r>
      <w:proofErr w:type="spellStart"/>
      <w:r w:rsidR="003E35C7" w:rsidRPr="00297110">
        <w:rPr>
          <w:rFonts w:ascii="Arial" w:hAnsi="Arial" w:cs="Arial"/>
          <w:sz w:val="24"/>
          <w:szCs w:val="24"/>
          <w:lang w:eastAsia="es-CO"/>
        </w:rPr>
        <w:t>Jhoany</w:t>
      </w:r>
      <w:proofErr w:type="spellEnd"/>
      <w:r w:rsidR="003E35C7" w:rsidRPr="00297110">
        <w:rPr>
          <w:rFonts w:ascii="Arial" w:hAnsi="Arial" w:cs="Arial"/>
          <w:sz w:val="24"/>
          <w:szCs w:val="24"/>
          <w:lang w:eastAsia="es-CO"/>
        </w:rPr>
        <w:t xml:space="preserve"> Carlos Alberto Palacios Mosquera, Jorge Alejandro Ocampo Giraldo , Carlos Edward Osorio Aguiar, Jairo Reinaldo Cala Suárez, </w:t>
      </w:r>
      <w:proofErr w:type="spellStart"/>
      <w:r w:rsidR="003E35C7" w:rsidRPr="00297110">
        <w:rPr>
          <w:rFonts w:ascii="Arial" w:hAnsi="Arial" w:cs="Arial"/>
          <w:sz w:val="24"/>
          <w:szCs w:val="24"/>
          <w:lang w:eastAsia="es-CO"/>
        </w:rPr>
        <w:t>Yenica</w:t>
      </w:r>
      <w:proofErr w:type="spellEnd"/>
      <w:r w:rsidR="003E35C7" w:rsidRPr="00297110">
        <w:rPr>
          <w:rFonts w:ascii="Arial" w:hAnsi="Arial" w:cs="Arial"/>
          <w:sz w:val="24"/>
          <w:szCs w:val="24"/>
          <w:lang w:eastAsia="es-CO"/>
        </w:rPr>
        <w:t xml:space="preserve"> </w:t>
      </w:r>
      <w:proofErr w:type="spellStart"/>
      <w:r w:rsidR="003E35C7" w:rsidRPr="00297110">
        <w:rPr>
          <w:rFonts w:ascii="Arial" w:hAnsi="Arial" w:cs="Arial"/>
          <w:sz w:val="24"/>
          <w:szCs w:val="24"/>
          <w:lang w:eastAsia="es-CO"/>
        </w:rPr>
        <w:t>Sugein</w:t>
      </w:r>
      <w:proofErr w:type="spellEnd"/>
      <w:r w:rsidR="003E35C7" w:rsidRPr="00297110">
        <w:rPr>
          <w:rFonts w:ascii="Arial" w:hAnsi="Arial" w:cs="Arial"/>
          <w:sz w:val="24"/>
          <w:szCs w:val="24"/>
          <w:lang w:eastAsia="es-CO"/>
        </w:rPr>
        <w:t xml:space="preserve"> Acosta Infante, </w:t>
      </w:r>
      <w:proofErr w:type="spellStart"/>
      <w:r w:rsidR="003E35C7" w:rsidRPr="00297110">
        <w:rPr>
          <w:rFonts w:ascii="Arial" w:hAnsi="Arial" w:cs="Arial"/>
          <w:sz w:val="24"/>
          <w:szCs w:val="24"/>
          <w:lang w:eastAsia="es-CO"/>
        </w:rPr>
        <w:t>Edinson</w:t>
      </w:r>
      <w:proofErr w:type="spellEnd"/>
      <w:r w:rsidR="003E35C7" w:rsidRPr="00297110">
        <w:rPr>
          <w:rFonts w:ascii="Arial" w:hAnsi="Arial" w:cs="Arial"/>
          <w:sz w:val="24"/>
          <w:szCs w:val="24"/>
          <w:lang w:eastAsia="es-CO"/>
        </w:rPr>
        <w:t xml:space="preserve"> Vladimir </w:t>
      </w:r>
      <w:r w:rsidR="003E35C7" w:rsidRPr="00297110">
        <w:rPr>
          <w:rFonts w:ascii="Arial" w:hAnsi="Arial" w:cs="Arial"/>
          <w:sz w:val="24"/>
          <w:szCs w:val="24"/>
          <w:lang w:eastAsia="es-CO"/>
        </w:rPr>
        <w:lastRenderedPageBreak/>
        <w:t xml:space="preserve">Olaya Mancipe, Norman David </w:t>
      </w:r>
      <w:proofErr w:type="spellStart"/>
      <w:r w:rsidR="003E35C7" w:rsidRPr="00297110">
        <w:rPr>
          <w:rFonts w:ascii="Arial" w:hAnsi="Arial" w:cs="Arial"/>
          <w:sz w:val="24"/>
          <w:szCs w:val="24"/>
          <w:lang w:eastAsia="es-CO"/>
        </w:rPr>
        <w:t>Bañol</w:t>
      </w:r>
      <w:proofErr w:type="spellEnd"/>
      <w:r w:rsidR="003E35C7" w:rsidRPr="00297110">
        <w:rPr>
          <w:rFonts w:ascii="Arial" w:hAnsi="Arial" w:cs="Arial"/>
          <w:sz w:val="24"/>
          <w:szCs w:val="24"/>
          <w:lang w:eastAsia="es-CO"/>
        </w:rPr>
        <w:t xml:space="preserve"> Álvarez ,Gloria Elena </w:t>
      </w:r>
      <w:proofErr w:type="spellStart"/>
      <w:r w:rsidR="003E35C7" w:rsidRPr="00297110">
        <w:rPr>
          <w:rFonts w:ascii="Arial" w:hAnsi="Arial" w:cs="Arial"/>
          <w:sz w:val="24"/>
          <w:szCs w:val="24"/>
          <w:lang w:eastAsia="es-CO"/>
        </w:rPr>
        <w:t>Arizabaleta</w:t>
      </w:r>
      <w:proofErr w:type="spellEnd"/>
      <w:r w:rsidR="003E35C7" w:rsidRPr="00297110">
        <w:rPr>
          <w:rFonts w:ascii="Arial" w:hAnsi="Arial" w:cs="Arial"/>
          <w:sz w:val="24"/>
          <w:szCs w:val="24"/>
          <w:lang w:eastAsia="es-CO"/>
        </w:rPr>
        <w:t xml:space="preserve"> Corral, Germán Rogelio Rozo Anís, Santiago Osorio Marín , Alejandro García Ríos , Luis Ramiro Ricardo </w:t>
      </w:r>
      <w:proofErr w:type="spellStart"/>
      <w:r w:rsidR="003E35C7" w:rsidRPr="00297110">
        <w:rPr>
          <w:rFonts w:ascii="Arial" w:hAnsi="Arial" w:cs="Arial"/>
          <w:sz w:val="24"/>
          <w:szCs w:val="24"/>
          <w:lang w:eastAsia="es-CO"/>
        </w:rPr>
        <w:t>Buelvas</w:t>
      </w:r>
      <w:proofErr w:type="spellEnd"/>
      <w:r w:rsidR="003E35C7" w:rsidRPr="00297110">
        <w:rPr>
          <w:rFonts w:ascii="Arial" w:hAnsi="Arial" w:cs="Arial"/>
          <w:sz w:val="24"/>
          <w:szCs w:val="24"/>
          <w:lang w:eastAsia="es-CO"/>
        </w:rPr>
        <w:t xml:space="preserve"> ,Wilder </w:t>
      </w:r>
      <w:proofErr w:type="spellStart"/>
      <w:r w:rsidR="003E35C7" w:rsidRPr="00297110">
        <w:rPr>
          <w:rFonts w:ascii="Arial" w:hAnsi="Arial" w:cs="Arial"/>
          <w:sz w:val="24"/>
          <w:szCs w:val="24"/>
          <w:lang w:eastAsia="es-CO"/>
        </w:rPr>
        <w:t>Iberson</w:t>
      </w:r>
      <w:proofErr w:type="spellEnd"/>
      <w:r w:rsidR="003E35C7" w:rsidRPr="00297110">
        <w:rPr>
          <w:rFonts w:ascii="Arial" w:hAnsi="Arial" w:cs="Arial"/>
          <w:sz w:val="24"/>
          <w:szCs w:val="24"/>
          <w:lang w:eastAsia="es-CO"/>
        </w:rPr>
        <w:t xml:space="preserve"> Escobar Ortiz</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Germán José Gómez López</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Juan Carlos Vargas Soler</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 xml:space="preserve">Jennifer </w:t>
      </w:r>
      <w:proofErr w:type="spellStart"/>
      <w:r w:rsidR="003E35C7" w:rsidRPr="00297110">
        <w:rPr>
          <w:rFonts w:ascii="Arial" w:hAnsi="Arial" w:cs="Arial"/>
          <w:sz w:val="24"/>
          <w:szCs w:val="24"/>
          <w:lang w:eastAsia="es-CO"/>
        </w:rPr>
        <w:t>Dalley</w:t>
      </w:r>
      <w:proofErr w:type="spellEnd"/>
      <w:r w:rsidR="003E35C7" w:rsidRPr="00297110">
        <w:rPr>
          <w:rFonts w:ascii="Arial" w:hAnsi="Arial" w:cs="Arial"/>
          <w:sz w:val="24"/>
          <w:szCs w:val="24"/>
          <w:lang w:eastAsia="es-CO"/>
        </w:rPr>
        <w:t xml:space="preserve"> Pedraza </w:t>
      </w:r>
      <w:proofErr w:type="spellStart"/>
      <w:r w:rsidR="003E35C7" w:rsidRPr="00297110">
        <w:rPr>
          <w:rFonts w:ascii="Arial" w:hAnsi="Arial" w:cs="Arial"/>
          <w:sz w:val="24"/>
          <w:szCs w:val="24"/>
          <w:lang w:eastAsia="es-CO"/>
        </w:rPr>
        <w:t>Sandoval</w:t>
      </w:r>
      <w:r w:rsidR="000C1A9F" w:rsidRPr="00297110">
        <w:rPr>
          <w:rFonts w:ascii="Arial" w:hAnsi="Arial" w:cs="Arial"/>
          <w:sz w:val="24"/>
          <w:szCs w:val="24"/>
          <w:lang w:eastAsia="es-CO"/>
        </w:rPr>
        <w:t>,</w:t>
      </w:r>
      <w:r w:rsidR="003E35C7" w:rsidRPr="00297110">
        <w:rPr>
          <w:rFonts w:ascii="Arial" w:hAnsi="Arial" w:cs="Arial"/>
          <w:sz w:val="24"/>
          <w:szCs w:val="24"/>
          <w:lang w:eastAsia="es-CO"/>
        </w:rPr>
        <w:t>Erika</w:t>
      </w:r>
      <w:proofErr w:type="spellEnd"/>
      <w:r w:rsidR="003E35C7" w:rsidRPr="00297110">
        <w:rPr>
          <w:rFonts w:ascii="Arial" w:hAnsi="Arial" w:cs="Arial"/>
          <w:sz w:val="24"/>
          <w:szCs w:val="24"/>
          <w:lang w:eastAsia="es-CO"/>
        </w:rPr>
        <w:t xml:space="preserve"> Tatiana Sánchez Pinto</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John Jairo González Agudelo, John Fredy Núñez Ramos</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 xml:space="preserve">, Gerson </w:t>
      </w:r>
      <w:proofErr w:type="spellStart"/>
      <w:r w:rsidR="003E35C7" w:rsidRPr="00297110">
        <w:rPr>
          <w:rFonts w:ascii="Arial" w:hAnsi="Arial" w:cs="Arial"/>
          <w:sz w:val="24"/>
          <w:szCs w:val="24"/>
          <w:lang w:eastAsia="es-CO"/>
        </w:rPr>
        <w:t>Lisímaco</w:t>
      </w:r>
      <w:proofErr w:type="spellEnd"/>
      <w:r w:rsidR="003E35C7" w:rsidRPr="00297110">
        <w:rPr>
          <w:rFonts w:ascii="Arial" w:hAnsi="Arial" w:cs="Arial"/>
          <w:sz w:val="24"/>
          <w:szCs w:val="24"/>
          <w:lang w:eastAsia="es-CO"/>
        </w:rPr>
        <w:t xml:space="preserve"> Montaño </w:t>
      </w:r>
      <w:proofErr w:type="spellStart"/>
      <w:r w:rsidR="003E35C7" w:rsidRPr="00297110">
        <w:rPr>
          <w:rFonts w:ascii="Arial" w:hAnsi="Arial" w:cs="Arial"/>
          <w:sz w:val="24"/>
          <w:szCs w:val="24"/>
          <w:lang w:eastAsia="es-CO"/>
        </w:rPr>
        <w:t>Arizala</w:t>
      </w:r>
      <w:proofErr w:type="spellEnd"/>
      <w:r w:rsidR="003E35C7" w:rsidRPr="00297110">
        <w:rPr>
          <w:rFonts w:ascii="Arial" w:hAnsi="Arial" w:cs="Arial"/>
          <w:sz w:val="24"/>
          <w:szCs w:val="24"/>
          <w:lang w:eastAsia="es-CO"/>
        </w:rPr>
        <w:t xml:space="preserve">, </w:t>
      </w:r>
      <w:proofErr w:type="spellStart"/>
      <w:r w:rsidR="003E35C7" w:rsidRPr="00297110">
        <w:rPr>
          <w:rFonts w:ascii="Arial" w:hAnsi="Arial" w:cs="Arial"/>
          <w:sz w:val="24"/>
          <w:szCs w:val="24"/>
          <w:lang w:eastAsia="es-CO"/>
        </w:rPr>
        <w:t>Haiver</w:t>
      </w:r>
      <w:proofErr w:type="spellEnd"/>
      <w:r w:rsidR="003E35C7" w:rsidRPr="00297110">
        <w:rPr>
          <w:rFonts w:ascii="Arial" w:hAnsi="Arial" w:cs="Arial"/>
          <w:sz w:val="24"/>
          <w:szCs w:val="24"/>
          <w:lang w:eastAsia="es-CO"/>
        </w:rPr>
        <w:t xml:space="preserve"> Rincón Gutiérrez</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 xml:space="preserve">Pedro </w:t>
      </w:r>
      <w:proofErr w:type="spellStart"/>
      <w:r w:rsidR="003E35C7" w:rsidRPr="00297110">
        <w:rPr>
          <w:rFonts w:ascii="Arial" w:hAnsi="Arial" w:cs="Arial"/>
          <w:sz w:val="24"/>
          <w:szCs w:val="24"/>
          <w:lang w:eastAsia="es-CO"/>
        </w:rPr>
        <w:t>Baracutao</w:t>
      </w:r>
      <w:proofErr w:type="spellEnd"/>
      <w:r w:rsidR="003E35C7" w:rsidRPr="00297110">
        <w:rPr>
          <w:rFonts w:ascii="Arial" w:hAnsi="Arial" w:cs="Arial"/>
          <w:sz w:val="24"/>
          <w:szCs w:val="24"/>
          <w:lang w:eastAsia="es-CO"/>
        </w:rPr>
        <w:t xml:space="preserve"> García Ospina, Leonor María Palencia Vega, Diógenes Quintero Amaya</w:t>
      </w:r>
      <w:r w:rsidR="000C1A9F" w:rsidRPr="00297110">
        <w:rPr>
          <w:rFonts w:ascii="Arial" w:hAnsi="Arial" w:cs="Arial"/>
          <w:sz w:val="24"/>
          <w:szCs w:val="24"/>
          <w:lang w:eastAsia="es-CO"/>
        </w:rPr>
        <w:t xml:space="preserve">, </w:t>
      </w:r>
      <w:r w:rsidR="003E35C7" w:rsidRPr="00297110">
        <w:rPr>
          <w:rFonts w:ascii="Arial" w:hAnsi="Arial" w:cs="Arial"/>
          <w:sz w:val="24"/>
          <w:szCs w:val="24"/>
          <w:lang w:eastAsia="es-CO"/>
        </w:rPr>
        <w:t xml:space="preserve"> Luis Alberto Albán Urbano</w:t>
      </w:r>
      <w:r w:rsidR="000C1A9F" w:rsidRPr="00297110">
        <w:rPr>
          <w:rFonts w:ascii="Arial" w:hAnsi="Arial" w:cs="Arial"/>
          <w:color w:val="333333"/>
          <w:sz w:val="24"/>
          <w:szCs w:val="24"/>
          <w:shd w:val="clear" w:color="auto" w:fill="F2F2F2"/>
          <w:lang w:eastAsia="es-CO"/>
        </w:rPr>
        <w:t>,</w:t>
      </w:r>
      <w:r w:rsidR="000C1A9F" w:rsidRPr="00297110">
        <w:rPr>
          <w:rFonts w:ascii="Arial" w:hAnsi="Arial" w:cs="Arial"/>
          <w:sz w:val="24"/>
          <w:szCs w:val="24"/>
        </w:rPr>
        <w:t xml:space="preserve"> </w:t>
      </w:r>
      <w:r w:rsidR="003E35C7" w:rsidRPr="00297110">
        <w:rPr>
          <w:rFonts w:ascii="Arial" w:hAnsi="Arial" w:cs="Arial"/>
          <w:sz w:val="24"/>
          <w:szCs w:val="24"/>
        </w:rPr>
        <w:t>Juan Diego Muñoz Cabrera</w:t>
      </w:r>
      <w:r w:rsidR="000C1A9F" w:rsidRPr="00297110">
        <w:rPr>
          <w:rFonts w:ascii="Arial" w:hAnsi="Arial" w:cs="Arial"/>
          <w:sz w:val="24"/>
          <w:szCs w:val="24"/>
        </w:rPr>
        <w:t xml:space="preserve">, Wilmer </w:t>
      </w:r>
      <w:r w:rsidR="003E35C7" w:rsidRPr="00297110">
        <w:rPr>
          <w:rFonts w:ascii="Arial" w:hAnsi="Arial" w:cs="Arial"/>
          <w:sz w:val="24"/>
          <w:szCs w:val="24"/>
        </w:rPr>
        <w:t xml:space="preserve"> Yair Castellanos Hernández</w:t>
      </w:r>
      <w:r w:rsidR="000C1A9F" w:rsidRPr="00297110">
        <w:rPr>
          <w:rFonts w:ascii="Arial" w:hAnsi="Arial" w:cs="Arial"/>
          <w:sz w:val="24"/>
          <w:szCs w:val="24"/>
        </w:rPr>
        <w:t xml:space="preserve">, </w:t>
      </w:r>
      <w:r w:rsidR="003E35C7" w:rsidRPr="00297110">
        <w:rPr>
          <w:rFonts w:ascii="Arial" w:hAnsi="Arial" w:cs="Arial"/>
          <w:sz w:val="24"/>
          <w:szCs w:val="24"/>
        </w:rPr>
        <w:t xml:space="preserve">Elkin Rodolfo Ospina </w:t>
      </w:r>
      <w:proofErr w:type="spellStart"/>
      <w:r w:rsidR="003E35C7" w:rsidRPr="00297110">
        <w:rPr>
          <w:rFonts w:ascii="Arial" w:hAnsi="Arial" w:cs="Arial"/>
          <w:sz w:val="24"/>
          <w:szCs w:val="24"/>
        </w:rPr>
        <w:t>Ospina</w:t>
      </w:r>
      <w:proofErr w:type="spellEnd"/>
      <w:r w:rsidR="003E35C7" w:rsidRPr="00297110">
        <w:rPr>
          <w:rFonts w:ascii="Arial" w:hAnsi="Arial" w:cs="Arial"/>
          <w:sz w:val="24"/>
          <w:szCs w:val="24"/>
        </w:rPr>
        <w:t>, Álvaro Henry Monedero Rivera</w:t>
      </w:r>
      <w:r w:rsidR="000C1A9F" w:rsidRPr="00297110">
        <w:rPr>
          <w:rFonts w:ascii="Arial" w:hAnsi="Arial" w:cs="Arial"/>
          <w:sz w:val="24"/>
          <w:szCs w:val="24"/>
        </w:rPr>
        <w:t>.</w:t>
      </w:r>
    </w:p>
    <w:p w:rsidR="00297110" w:rsidRDefault="00297110" w:rsidP="00297110">
      <w:pPr>
        <w:jc w:val="both"/>
        <w:rPr>
          <w:rFonts w:ascii="Arial" w:hAnsi="Arial" w:cs="Arial"/>
          <w:sz w:val="24"/>
          <w:szCs w:val="24"/>
        </w:rPr>
      </w:pPr>
    </w:p>
    <w:p w:rsidR="000C1A9F" w:rsidRPr="00297110" w:rsidRDefault="000C1A9F" w:rsidP="00297110">
      <w:pPr>
        <w:jc w:val="both"/>
        <w:rPr>
          <w:rFonts w:ascii="Arial" w:eastAsiaTheme="majorEastAsia" w:hAnsi="Arial" w:cs="Arial"/>
          <w:color w:val="2E74B5" w:themeColor="accent1" w:themeShade="BF"/>
          <w:sz w:val="24"/>
          <w:szCs w:val="24"/>
        </w:rPr>
      </w:pPr>
      <w:r w:rsidRPr="00297110">
        <w:rPr>
          <w:rFonts w:ascii="Arial" w:hAnsi="Arial" w:cs="Arial"/>
          <w:sz w:val="24"/>
          <w:szCs w:val="24"/>
        </w:rPr>
        <w:t xml:space="preserve">El 14 </w:t>
      </w:r>
      <w:r w:rsidR="007F2AC5" w:rsidRPr="00297110">
        <w:rPr>
          <w:rFonts w:ascii="Arial" w:hAnsi="Arial" w:cs="Arial"/>
          <w:sz w:val="24"/>
          <w:szCs w:val="24"/>
        </w:rPr>
        <w:t xml:space="preserve">de </w:t>
      </w:r>
      <w:r w:rsidRPr="00297110">
        <w:rPr>
          <w:rFonts w:ascii="Arial" w:hAnsi="Arial" w:cs="Arial"/>
          <w:sz w:val="24"/>
          <w:szCs w:val="24"/>
        </w:rPr>
        <w:t xml:space="preserve">octubre </w:t>
      </w:r>
      <w:r w:rsidR="007F2AC5" w:rsidRPr="00297110">
        <w:rPr>
          <w:rFonts w:ascii="Arial" w:hAnsi="Arial" w:cs="Arial"/>
          <w:sz w:val="24"/>
          <w:szCs w:val="24"/>
        </w:rPr>
        <w:t xml:space="preserve">de 2022 se designó como ponentes a </w:t>
      </w:r>
      <w:r w:rsidRPr="00297110">
        <w:rPr>
          <w:rFonts w:ascii="Arial" w:hAnsi="Arial" w:cs="Arial"/>
          <w:sz w:val="24"/>
          <w:szCs w:val="24"/>
        </w:rPr>
        <w:t>los representantes,  H.R. Oscar Hernán Sánchez León (coordinador)</w:t>
      </w:r>
      <w:proofErr w:type="gramStart"/>
      <w:r w:rsidRPr="00297110">
        <w:rPr>
          <w:rFonts w:ascii="Arial" w:hAnsi="Arial" w:cs="Arial"/>
          <w:sz w:val="24"/>
          <w:szCs w:val="24"/>
        </w:rPr>
        <w:t>,Adriana</w:t>
      </w:r>
      <w:proofErr w:type="gramEnd"/>
      <w:r w:rsidRPr="00297110">
        <w:rPr>
          <w:rFonts w:ascii="Arial" w:hAnsi="Arial" w:cs="Arial"/>
          <w:sz w:val="24"/>
          <w:szCs w:val="24"/>
        </w:rPr>
        <w:t xml:space="preserve"> Carolina Arbeláez Giraldo, Catherine </w:t>
      </w:r>
      <w:proofErr w:type="spellStart"/>
      <w:r w:rsidRPr="00297110">
        <w:rPr>
          <w:rFonts w:ascii="Arial" w:hAnsi="Arial" w:cs="Arial"/>
          <w:sz w:val="24"/>
          <w:szCs w:val="24"/>
        </w:rPr>
        <w:t>Juvinao</w:t>
      </w:r>
      <w:proofErr w:type="spellEnd"/>
      <w:r w:rsidRPr="00297110">
        <w:rPr>
          <w:rFonts w:ascii="Arial" w:hAnsi="Arial" w:cs="Arial"/>
          <w:sz w:val="24"/>
          <w:szCs w:val="24"/>
        </w:rPr>
        <w:t xml:space="preserve"> Clavijo, </w:t>
      </w:r>
      <w:proofErr w:type="spellStart"/>
      <w:r w:rsidRPr="00297110">
        <w:rPr>
          <w:rFonts w:ascii="Arial" w:hAnsi="Arial" w:cs="Arial"/>
          <w:sz w:val="24"/>
          <w:szCs w:val="24"/>
        </w:rPr>
        <w:t>Eduard</w:t>
      </w:r>
      <w:proofErr w:type="spellEnd"/>
      <w:r w:rsidRPr="00297110">
        <w:rPr>
          <w:rFonts w:ascii="Arial" w:hAnsi="Arial" w:cs="Arial"/>
          <w:sz w:val="24"/>
          <w:szCs w:val="24"/>
        </w:rPr>
        <w:t xml:space="preserve"> Giovanny Sarmiento Hidalgo, Jorge Eliécer Tamayo Marulanda, Luis Eduardo Díaz </w:t>
      </w:r>
      <w:proofErr w:type="spellStart"/>
      <w:r w:rsidRPr="00297110">
        <w:rPr>
          <w:rFonts w:ascii="Arial" w:hAnsi="Arial" w:cs="Arial"/>
          <w:sz w:val="24"/>
          <w:szCs w:val="24"/>
        </w:rPr>
        <w:t>Mateus</w:t>
      </w:r>
      <w:proofErr w:type="spellEnd"/>
      <w:r w:rsidRPr="00297110">
        <w:rPr>
          <w:rFonts w:ascii="Arial" w:hAnsi="Arial" w:cs="Arial"/>
          <w:sz w:val="24"/>
          <w:szCs w:val="24"/>
        </w:rPr>
        <w:t xml:space="preserve">, Orlando Castillo </w:t>
      </w:r>
      <w:proofErr w:type="spellStart"/>
      <w:r w:rsidRPr="00297110">
        <w:rPr>
          <w:rFonts w:ascii="Arial" w:hAnsi="Arial" w:cs="Arial"/>
          <w:sz w:val="24"/>
          <w:szCs w:val="24"/>
        </w:rPr>
        <w:t>Advincula</w:t>
      </w:r>
      <w:proofErr w:type="spellEnd"/>
      <w:r w:rsidRPr="00297110">
        <w:rPr>
          <w:rFonts w:ascii="Arial" w:hAnsi="Arial" w:cs="Arial"/>
          <w:sz w:val="24"/>
          <w:szCs w:val="24"/>
        </w:rPr>
        <w:t xml:space="preserve">, José Jaime </w:t>
      </w:r>
      <w:proofErr w:type="spellStart"/>
      <w:r w:rsidRPr="00297110">
        <w:rPr>
          <w:rFonts w:ascii="Arial" w:hAnsi="Arial" w:cs="Arial"/>
          <w:sz w:val="24"/>
          <w:szCs w:val="24"/>
        </w:rPr>
        <w:t>Uscátegui</w:t>
      </w:r>
      <w:proofErr w:type="spellEnd"/>
      <w:r w:rsidRPr="00297110">
        <w:rPr>
          <w:rFonts w:ascii="Arial" w:hAnsi="Arial" w:cs="Arial"/>
          <w:sz w:val="24"/>
          <w:szCs w:val="24"/>
        </w:rPr>
        <w:t xml:space="preserve"> Pastrana,  </w:t>
      </w:r>
      <w:proofErr w:type="spellStart"/>
      <w:r w:rsidRPr="00297110">
        <w:rPr>
          <w:rFonts w:ascii="Arial" w:hAnsi="Arial" w:cs="Arial"/>
          <w:sz w:val="24"/>
          <w:szCs w:val="24"/>
        </w:rPr>
        <w:t>Marelen</w:t>
      </w:r>
      <w:proofErr w:type="spellEnd"/>
      <w:r w:rsidRPr="00297110">
        <w:rPr>
          <w:rFonts w:ascii="Arial" w:hAnsi="Arial" w:cs="Arial"/>
          <w:sz w:val="24"/>
          <w:szCs w:val="24"/>
        </w:rPr>
        <w:t xml:space="preserve"> Castillo Torres y Luis Alberto Albán Urbano</w:t>
      </w:r>
      <w:r w:rsidRPr="00297110">
        <w:rPr>
          <w:rFonts w:ascii="Arial" w:eastAsia="Times New Roman" w:hAnsi="Arial" w:cs="Arial"/>
          <w:color w:val="BD9E55"/>
          <w:sz w:val="24"/>
          <w:szCs w:val="24"/>
          <w:lang w:eastAsia="es-CO"/>
        </w:rPr>
        <w:t>.</w:t>
      </w:r>
    </w:p>
    <w:p w:rsidR="000C1A9F" w:rsidRPr="00297110" w:rsidRDefault="000C1A9F" w:rsidP="000C1A9F">
      <w:pPr>
        <w:rPr>
          <w:rFonts w:ascii="Arial" w:hAnsi="Arial" w:cs="Arial"/>
          <w:sz w:val="24"/>
          <w:szCs w:val="24"/>
        </w:rPr>
      </w:pPr>
    </w:p>
    <w:p w:rsidR="00720EEB" w:rsidRPr="00297110" w:rsidRDefault="00297110" w:rsidP="00331F37">
      <w:pPr>
        <w:pStyle w:val="Prrafodelista"/>
        <w:numPr>
          <w:ilvl w:val="0"/>
          <w:numId w:val="3"/>
        </w:numPr>
        <w:rPr>
          <w:rFonts w:ascii="Arial" w:hAnsi="Arial" w:cs="Arial"/>
          <w:b/>
          <w:sz w:val="24"/>
          <w:szCs w:val="24"/>
        </w:rPr>
      </w:pPr>
      <w:r w:rsidRPr="00297110">
        <w:rPr>
          <w:rFonts w:ascii="Arial" w:hAnsi="Arial" w:cs="Arial"/>
          <w:b/>
          <w:sz w:val="24"/>
          <w:szCs w:val="24"/>
        </w:rPr>
        <w:t>OBJETO</w:t>
      </w:r>
    </w:p>
    <w:p w:rsidR="006B3A5E" w:rsidRPr="00297110" w:rsidRDefault="006B3A5E" w:rsidP="006B3A5E">
      <w:pPr>
        <w:jc w:val="both"/>
        <w:rPr>
          <w:rFonts w:ascii="Arial" w:hAnsi="Arial" w:cs="Arial"/>
          <w:sz w:val="24"/>
          <w:szCs w:val="24"/>
        </w:rPr>
      </w:pPr>
      <w:r w:rsidRPr="00297110">
        <w:rPr>
          <w:rFonts w:ascii="Arial" w:hAnsi="Arial" w:cs="Arial"/>
          <w:sz w:val="24"/>
          <w:szCs w:val="24"/>
        </w:rPr>
        <w:t>El proyecto de Acto Legislativo tiene por objeto reformar el los artículos 322 y 326 de la Constitución Política, con el fin de modificar la capital del departamento de Cundinamarca.</w:t>
      </w:r>
    </w:p>
    <w:p w:rsidR="006B3A5E" w:rsidRPr="00297110" w:rsidRDefault="00297110" w:rsidP="00331F37">
      <w:pPr>
        <w:pStyle w:val="Prrafodelista"/>
        <w:numPr>
          <w:ilvl w:val="0"/>
          <w:numId w:val="3"/>
        </w:numPr>
        <w:jc w:val="both"/>
        <w:rPr>
          <w:rFonts w:ascii="Arial" w:hAnsi="Arial" w:cs="Arial"/>
          <w:b/>
          <w:sz w:val="24"/>
          <w:szCs w:val="24"/>
        </w:rPr>
      </w:pPr>
      <w:r w:rsidRPr="00297110">
        <w:rPr>
          <w:rFonts w:ascii="Arial" w:hAnsi="Arial" w:cs="Arial"/>
          <w:b/>
          <w:sz w:val="24"/>
          <w:szCs w:val="24"/>
        </w:rPr>
        <w:t>CONSIDERACIONES DE LOS PONENTES</w:t>
      </w:r>
    </w:p>
    <w:p w:rsidR="006B3A5E" w:rsidRDefault="007877A3" w:rsidP="006B3A5E">
      <w:pPr>
        <w:jc w:val="both"/>
        <w:rPr>
          <w:rFonts w:ascii="Arial" w:hAnsi="Arial" w:cs="Arial"/>
          <w:sz w:val="24"/>
          <w:szCs w:val="24"/>
        </w:rPr>
      </w:pPr>
      <w:r w:rsidRPr="00297110">
        <w:rPr>
          <w:rFonts w:ascii="Arial" w:hAnsi="Arial" w:cs="Arial"/>
          <w:sz w:val="24"/>
          <w:szCs w:val="24"/>
        </w:rPr>
        <w:t xml:space="preserve">El proyecto de </w:t>
      </w:r>
      <w:r w:rsidR="00A177B8" w:rsidRPr="00297110">
        <w:rPr>
          <w:rFonts w:ascii="Arial" w:hAnsi="Arial" w:cs="Arial"/>
          <w:sz w:val="24"/>
          <w:szCs w:val="24"/>
        </w:rPr>
        <w:t xml:space="preserve">Acto Legislativo en cuestión puede llegar a presentar un fin bien intencionado en el sentido que </w:t>
      </w:r>
      <w:r w:rsidR="00472C5F" w:rsidRPr="00297110">
        <w:rPr>
          <w:rFonts w:ascii="Arial" w:hAnsi="Arial" w:cs="Arial"/>
          <w:sz w:val="24"/>
          <w:szCs w:val="24"/>
        </w:rPr>
        <w:t>resalta las características del Municipio de Soacha para ser capital del departamento de Cundinamarca</w:t>
      </w:r>
      <w:r w:rsidR="003E7365" w:rsidRPr="00297110">
        <w:rPr>
          <w:rFonts w:ascii="Arial" w:hAnsi="Arial" w:cs="Arial"/>
          <w:sz w:val="24"/>
          <w:szCs w:val="24"/>
        </w:rPr>
        <w:t xml:space="preserve">, sin embargo en una revisión detallada se pueden identificar elementos de tipo legal, </w:t>
      </w:r>
      <w:r w:rsidR="00F949D0" w:rsidRPr="00297110">
        <w:rPr>
          <w:rFonts w:ascii="Arial" w:hAnsi="Arial" w:cs="Arial"/>
          <w:sz w:val="24"/>
          <w:szCs w:val="24"/>
        </w:rPr>
        <w:t xml:space="preserve">económico – fiscal </w:t>
      </w:r>
      <w:r w:rsidR="003E7365" w:rsidRPr="00297110">
        <w:rPr>
          <w:rFonts w:ascii="Arial" w:hAnsi="Arial" w:cs="Arial"/>
          <w:sz w:val="24"/>
          <w:szCs w:val="24"/>
        </w:rPr>
        <w:t>y político que harían de esta iniciativa</w:t>
      </w:r>
      <w:r w:rsidR="00331F37" w:rsidRPr="00297110">
        <w:rPr>
          <w:rFonts w:ascii="Arial" w:hAnsi="Arial" w:cs="Arial"/>
          <w:sz w:val="24"/>
          <w:szCs w:val="24"/>
        </w:rPr>
        <w:t xml:space="preserve"> </w:t>
      </w:r>
      <w:r w:rsidR="003E7365" w:rsidRPr="00297110">
        <w:rPr>
          <w:rFonts w:ascii="Arial" w:hAnsi="Arial" w:cs="Arial"/>
          <w:sz w:val="24"/>
          <w:szCs w:val="24"/>
        </w:rPr>
        <w:t>una propuesta inviable</w:t>
      </w:r>
      <w:r w:rsidR="00331F37" w:rsidRPr="00297110">
        <w:rPr>
          <w:rFonts w:ascii="Arial" w:hAnsi="Arial" w:cs="Arial"/>
          <w:sz w:val="24"/>
          <w:szCs w:val="24"/>
        </w:rPr>
        <w:t xml:space="preserve"> y perjudicial </w:t>
      </w:r>
      <w:r w:rsidR="003E7365" w:rsidRPr="00297110">
        <w:rPr>
          <w:rFonts w:ascii="Arial" w:hAnsi="Arial" w:cs="Arial"/>
          <w:sz w:val="24"/>
          <w:szCs w:val="24"/>
        </w:rPr>
        <w:t xml:space="preserve">para el departamento </w:t>
      </w:r>
      <w:r w:rsidR="00331F37" w:rsidRPr="00297110">
        <w:rPr>
          <w:rFonts w:ascii="Arial" w:hAnsi="Arial" w:cs="Arial"/>
          <w:sz w:val="24"/>
          <w:szCs w:val="24"/>
        </w:rPr>
        <w:t xml:space="preserve">de Cundinamarca </w:t>
      </w:r>
      <w:r w:rsidR="003E7365" w:rsidRPr="00297110">
        <w:rPr>
          <w:rFonts w:ascii="Arial" w:hAnsi="Arial" w:cs="Arial"/>
          <w:sz w:val="24"/>
          <w:szCs w:val="24"/>
        </w:rPr>
        <w:t>y para el Distrito Capital</w:t>
      </w:r>
      <w:r w:rsidR="00DD48F4" w:rsidRPr="00297110">
        <w:rPr>
          <w:rFonts w:ascii="Arial" w:hAnsi="Arial" w:cs="Arial"/>
          <w:sz w:val="24"/>
          <w:szCs w:val="24"/>
        </w:rPr>
        <w:t>.</w:t>
      </w:r>
      <w:r w:rsidR="003E7365" w:rsidRPr="00297110">
        <w:rPr>
          <w:rFonts w:ascii="Arial" w:hAnsi="Arial" w:cs="Arial"/>
          <w:sz w:val="24"/>
          <w:szCs w:val="24"/>
        </w:rPr>
        <w:t xml:space="preserve"> </w:t>
      </w:r>
    </w:p>
    <w:p w:rsidR="00297110" w:rsidRPr="00297110" w:rsidRDefault="00297110" w:rsidP="006B3A5E">
      <w:pPr>
        <w:jc w:val="both"/>
        <w:rPr>
          <w:rFonts w:ascii="Arial" w:hAnsi="Arial" w:cs="Arial"/>
          <w:sz w:val="24"/>
          <w:szCs w:val="24"/>
        </w:rPr>
      </w:pPr>
    </w:p>
    <w:p w:rsidR="00331F37" w:rsidRPr="00297110" w:rsidRDefault="00331F37" w:rsidP="00331F37">
      <w:pPr>
        <w:pStyle w:val="Prrafodelista"/>
        <w:numPr>
          <w:ilvl w:val="1"/>
          <w:numId w:val="3"/>
        </w:numPr>
        <w:jc w:val="both"/>
        <w:rPr>
          <w:rFonts w:ascii="Arial" w:hAnsi="Arial" w:cs="Arial"/>
          <w:b/>
          <w:sz w:val="24"/>
          <w:szCs w:val="24"/>
        </w:rPr>
      </w:pPr>
      <w:r w:rsidRPr="00297110">
        <w:rPr>
          <w:rFonts w:ascii="Arial" w:hAnsi="Arial" w:cs="Arial"/>
          <w:b/>
          <w:sz w:val="24"/>
          <w:szCs w:val="24"/>
        </w:rPr>
        <w:t>Legal</w:t>
      </w:r>
    </w:p>
    <w:p w:rsidR="00737B99" w:rsidRPr="00297110" w:rsidRDefault="00737B99" w:rsidP="00331F37">
      <w:pPr>
        <w:jc w:val="both"/>
        <w:rPr>
          <w:rFonts w:ascii="Arial" w:hAnsi="Arial" w:cs="Arial"/>
          <w:sz w:val="24"/>
          <w:szCs w:val="24"/>
        </w:rPr>
      </w:pPr>
      <w:r w:rsidRPr="00297110">
        <w:rPr>
          <w:rFonts w:ascii="Arial" w:hAnsi="Arial" w:cs="Arial"/>
          <w:sz w:val="24"/>
          <w:szCs w:val="24"/>
        </w:rPr>
        <w:t>En primer lugar la Constitución Política prevé un régimen especial y diferencial para Bogotá Distrito Capital y para el departamento de  Cundinamarca, se puede decir que son las únicas entidades territoriales cuyos marcos legales están consagrados y definidos en la Constitución Política.</w:t>
      </w:r>
    </w:p>
    <w:p w:rsidR="00E70F45" w:rsidRPr="00297110" w:rsidRDefault="00EE5863" w:rsidP="00331F37">
      <w:pPr>
        <w:jc w:val="both"/>
        <w:rPr>
          <w:rFonts w:ascii="Arial" w:hAnsi="Arial" w:cs="Arial"/>
          <w:sz w:val="24"/>
          <w:szCs w:val="24"/>
        </w:rPr>
      </w:pPr>
      <w:r w:rsidRPr="00297110">
        <w:rPr>
          <w:rFonts w:ascii="Arial" w:hAnsi="Arial" w:cs="Arial"/>
          <w:sz w:val="24"/>
          <w:szCs w:val="24"/>
        </w:rPr>
        <w:lastRenderedPageBreak/>
        <w:t>El debate por parte de los cons</w:t>
      </w:r>
      <w:r w:rsidR="00556807" w:rsidRPr="00297110">
        <w:rPr>
          <w:rFonts w:ascii="Arial" w:hAnsi="Arial" w:cs="Arial"/>
          <w:sz w:val="24"/>
          <w:szCs w:val="24"/>
        </w:rPr>
        <w:t>tituyentes de 1991 no fue menor</w:t>
      </w:r>
      <w:r w:rsidRPr="00297110">
        <w:rPr>
          <w:rFonts w:ascii="Arial" w:hAnsi="Arial" w:cs="Arial"/>
          <w:sz w:val="24"/>
          <w:szCs w:val="24"/>
        </w:rPr>
        <w:t>, a</w:t>
      </w:r>
      <w:r w:rsidR="00E70F45" w:rsidRPr="00297110">
        <w:rPr>
          <w:rFonts w:ascii="Arial" w:hAnsi="Arial" w:cs="Arial"/>
          <w:sz w:val="24"/>
          <w:szCs w:val="24"/>
        </w:rPr>
        <w:t xml:space="preserve">l respecto Jaime Castro en su recuento histórico </w:t>
      </w:r>
      <w:r w:rsidR="00556807" w:rsidRPr="00297110">
        <w:rPr>
          <w:rFonts w:ascii="Arial" w:hAnsi="Arial" w:cs="Arial"/>
          <w:sz w:val="24"/>
          <w:szCs w:val="24"/>
        </w:rPr>
        <w:t>se refiere</w:t>
      </w:r>
      <w:r w:rsidR="00E70F45" w:rsidRPr="00297110">
        <w:rPr>
          <w:rFonts w:ascii="Arial" w:hAnsi="Arial" w:cs="Arial"/>
          <w:sz w:val="24"/>
          <w:szCs w:val="24"/>
        </w:rPr>
        <w:t xml:space="preserve"> a las modificaciones del acto legislativo 03 de 1905 donde se autorizó al legislador para segregar distritos municipales de los departamentos existentes, lo cual </w:t>
      </w:r>
      <w:r w:rsidR="00556807" w:rsidRPr="00297110">
        <w:rPr>
          <w:rFonts w:ascii="Arial" w:hAnsi="Arial" w:cs="Arial"/>
          <w:sz w:val="24"/>
          <w:szCs w:val="24"/>
        </w:rPr>
        <w:t>permitió</w:t>
      </w:r>
      <w:r w:rsidR="00E70F45" w:rsidRPr="00297110">
        <w:rPr>
          <w:rFonts w:ascii="Arial" w:hAnsi="Arial" w:cs="Arial"/>
          <w:sz w:val="24"/>
          <w:szCs w:val="24"/>
        </w:rPr>
        <w:t xml:space="preserve"> que Bogotá dejara de ser la capital del departamento</w:t>
      </w:r>
      <w:r w:rsidR="00556807" w:rsidRPr="00297110">
        <w:rPr>
          <w:rFonts w:ascii="Arial" w:hAnsi="Arial" w:cs="Arial"/>
          <w:sz w:val="24"/>
          <w:szCs w:val="24"/>
        </w:rPr>
        <w:t>, sin embargo la inconveniencia de esta decisión llevo a que mediante la ley 65 de 1909 Bogotá fuera de nuevo la capital del departamento de Cundinamarca. Castro (</w:t>
      </w:r>
      <w:r w:rsidR="00782838">
        <w:rPr>
          <w:rFonts w:ascii="Arial" w:hAnsi="Arial" w:cs="Arial"/>
          <w:sz w:val="24"/>
          <w:szCs w:val="24"/>
        </w:rPr>
        <w:t>1991</w:t>
      </w:r>
      <w:r w:rsidR="00556807" w:rsidRPr="00297110">
        <w:rPr>
          <w:rFonts w:ascii="Arial" w:hAnsi="Arial" w:cs="Arial"/>
          <w:sz w:val="24"/>
          <w:szCs w:val="24"/>
        </w:rPr>
        <w:t>) refiriéndose a este periodo de tiempo (</w:t>
      </w:r>
      <w:r w:rsidR="005A26D1">
        <w:rPr>
          <w:rFonts w:ascii="Arial" w:hAnsi="Arial" w:cs="Arial"/>
          <w:sz w:val="24"/>
          <w:szCs w:val="24"/>
        </w:rPr>
        <w:t>4 años</w:t>
      </w:r>
      <w:r w:rsidR="00556807" w:rsidRPr="00297110">
        <w:rPr>
          <w:rFonts w:ascii="Arial" w:hAnsi="Arial" w:cs="Arial"/>
          <w:sz w:val="24"/>
          <w:szCs w:val="24"/>
        </w:rPr>
        <w:t>) menciona:</w:t>
      </w:r>
    </w:p>
    <w:p w:rsidR="008C0105" w:rsidRPr="00297110" w:rsidRDefault="00556807" w:rsidP="008C0105">
      <w:pPr>
        <w:ind w:left="708"/>
        <w:jc w:val="both"/>
        <w:rPr>
          <w:rFonts w:ascii="Arial" w:hAnsi="Arial" w:cs="Arial"/>
          <w:sz w:val="24"/>
          <w:szCs w:val="24"/>
        </w:rPr>
      </w:pPr>
      <w:r w:rsidRPr="00297110">
        <w:rPr>
          <w:rFonts w:ascii="Arial" w:hAnsi="Arial" w:cs="Arial"/>
          <w:sz w:val="24"/>
          <w:szCs w:val="24"/>
        </w:rPr>
        <w:t xml:space="preserve">La equivocación en que se incurre cuando se pretende separar, totalmente a Bogotá de Cundinamarca dadas las estrechas relaciones de interdependencia que existen entre estas dos entidades territoriales. </w:t>
      </w:r>
      <w:r w:rsidR="00A84197" w:rsidRPr="00297110">
        <w:rPr>
          <w:rFonts w:ascii="Arial" w:hAnsi="Arial" w:cs="Arial"/>
          <w:sz w:val="24"/>
          <w:szCs w:val="24"/>
        </w:rPr>
        <w:t>(</w:t>
      </w:r>
      <w:proofErr w:type="gramStart"/>
      <w:r w:rsidR="00A84197" w:rsidRPr="00297110">
        <w:rPr>
          <w:rFonts w:ascii="Arial" w:hAnsi="Arial" w:cs="Arial"/>
          <w:sz w:val="24"/>
          <w:szCs w:val="24"/>
        </w:rPr>
        <w:t>castro</w:t>
      </w:r>
      <w:proofErr w:type="gramEnd"/>
      <w:r w:rsidR="00A84197" w:rsidRPr="00297110">
        <w:rPr>
          <w:rFonts w:ascii="Arial" w:hAnsi="Arial" w:cs="Arial"/>
          <w:sz w:val="24"/>
          <w:szCs w:val="24"/>
        </w:rPr>
        <w:t>, 1991</w:t>
      </w:r>
      <w:r w:rsidR="00DD48F4" w:rsidRPr="00297110">
        <w:rPr>
          <w:rFonts w:ascii="Arial" w:hAnsi="Arial" w:cs="Arial"/>
          <w:sz w:val="24"/>
          <w:szCs w:val="24"/>
        </w:rPr>
        <w:t>, p. 3</w:t>
      </w:r>
      <w:r w:rsidR="00A84197" w:rsidRPr="00297110">
        <w:rPr>
          <w:rFonts w:ascii="Arial" w:hAnsi="Arial" w:cs="Arial"/>
          <w:sz w:val="24"/>
          <w:szCs w:val="24"/>
        </w:rPr>
        <w:t>)</w:t>
      </w:r>
      <w:r w:rsidR="008C0105" w:rsidRPr="00297110">
        <w:rPr>
          <w:rFonts w:ascii="Arial" w:hAnsi="Arial" w:cs="Arial"/>
          <w:sz w:val="24"/>
          <w:szCs w:val="24"/>
        </w:rPr>
        <w:t>.</w:t>
      </w:r>
    </w:p>
    <w:p w:rsidR="00A84197" w:rsidRPr="00297110" w:rsidRDefault="00A84197" w:rsidP="00A84197">
      <w:pPr>
        <w:jc w:val="both"/>
        <w:rPr>
          <w:rFonts w:ascii="Arial" w:hAnsi="Arial" w:cs="Arial"/>
          <w:sz w:val="24"/>
          <w:szCs w:val="24"/>
        </w:rPr>
      </w:pPr>
      <w:r w:rsidRPr="00297110">
        <w:rPr>
          <w:rFonts w:ascii="Arial" w:hAnsi="Arial" w:cs="Arial"/>
          <w:sz w:val="24"/>
          <w:szCs w:val="24"/>
        </w:rPr>
        <w:t xml:space="preserve">Lo anterior permite observar que la condición de Bogotá como capital de Cundinamarca </w:t>
      </w:r>
      <w:r w:rsidR="006013E1" w:rsidRPr="00297110">
        <w:rPr>
          <w:rFonts w:ascii="Arial" w:hAnsi="Arial" w:cs="Arial"/>
          <w:sz w:val="24"/>
          <w:szCs w:val="24"/>
        </w:rPr>
        <w:t xml:space="preserve">ha sido un elemento de conceso político y fiscal por más de 110 años, la cual es reafirmada en las discusiones de la asamblea nacional Constituyente, al respecto los constituyentes mencionan: </w:t>
      </w:r>
    </w:p>
    <w:p w:rsidR="007F286F" w:rsidRPr="00297110" w:rsidRDefault="008C0105" w:rsidP="007F286F">
      <w:pPr>
        <w:ind w:left="708"/>
        <w:jc w:val="both"/>
        <w:rPr>
          <w:rFonts w:ascii="Arial" w:hAnsi="Arial" w:cs="Arial"/>
          <w:sz w:val="24"/>
          <w:szCs w:val="24"/>
        </w:rPr>
      </w:pPr>
      <w:r w:rsidRPr="00297110">
        <w:rPr>
          <w:rFonts w:ascii="Arial" w:hAnsi="Arial" w:cs="Arial"/>
          <w:sz w:val="24"/>
          <w:szCs w:val="24"/>
        </w:rPr>
        <w:t xml:space="preserve">En primer lugar, debe decirse que Bogotá, como distrito capital, continuara siendo la Capital de Cundinamarca. Ninguna de las propuestas sometidas a nuestra consideración compromete dicha situación. Pido que tampoco lo haga el articulado que </w:t>
      </w:r>
      <w:r w:rsidR="007F286F" w:rsidRPr="00297110">
        <w:rPr>
          <w:rFonts w:ascii="Arial" w:hAnsi="Arial" w:cs="Arial"/>
          <w:sz w:val="24"/>
          <w:szCs w:val="24"/>
        </w:rPr>
        <w:t>recomendamos para primer debate. (…) quede claro, entonces, que Bogotá seguirá como capital de Cundinamarca (</w:t>
      </w:r>
      <w:r w:rsidR="00474130" w:rsidRPr="00297110">
        <w:rPr>
          <w:rFonts w:ascii="Arial" w:hAnsi="Arial" w:cs="Arial"/>
          <w:sz w:val="24"/>
          <w:szCs w:val="24"/>
        </w:rPr>
        <w:t xml:space="preserve">Castro, 1991, </w:t>
      </w:r>
      <w:r w:rsidR="007F286F" w:rsidRPr="00297110">
        <w:rPr>
          <w:rFonts w:ascii="Arial" w:hAnsi="Arial" w:cs="Arial"/>
          <w:sz w:val="24"/>
          <w:szCs w:val="24"/>
        </w:rPr>
        <w:t>p. 25)</w:t>
      </w:r>
      <w:r w:rsidR="00DD48F4" w:rsidRPr="00297110">
        <w:rPr>
          <w:rFonts w:ascii="Arial" w:hAnsi="Arial" w:cs="Arial"/>
          <w:sz w:val="24"/>
          <w:szCs w:val="24"/>
        </w:rPr>
        <w:t>.</w:t>
      </w:r>
    </w:p>
    <w:p w:rsidR="00DD48F4" w:rsidRPr="00297110" w:rsidRDefault="00DD48F4" w:rsidP="00DD48F4">
      <w:pPr>
        <w:jc w:val="both"/>
        <w:rPr>
          <w:rFonts w:ascii="Arial" w:hAnsi="Arial" w:cs="Arial"/>
          <w:sz w:val="24"/>
          <w:szCs w:val="24"/>
        </w:rPr>
      </w:pPr>
      <w:r w:rsidRPr="00297110">
        <w:rPr>
          <w:rFonts w:ascii="Arial" w:hAnsi="Arial" w:cs="Arial"/>
          <w:sz w:val="24"/>
          <w:szCs w:val="24"/>
        </w:rPr>
        <w:t xml:space="preserve">Sumado a lo anterior, la modificación de la capital del departamento de Cundinamarca llevaría a una inestabilidad jurídica para el departamento </w:t>
      </w:r>
      <w:r w:rsidR="002315DC" w:rsidRPr="00297110">
        <w:rPr>
          <w:rFonts w:ascii="Arial" w:hAnsi="Arial" w:cs="Arial"/>
          <w:sz w:val="24"/>
          <w:szCs w:val="24"/>
        </w:rPr>
        <w:t xml:space="preserve">y el distrito ya que el inciso segundo del </w:t>
      </w:r>
      <w:r w:rsidR="00782838" w:rsidRPr="00297110">
        <w:rPr>
          <w:rFonts w:ascii="Arial" w:hAnsi="Arial" w:cs="Arial"/>
          <w:sz w:val="24"/>
          <w:szCs w:val="24"/>
        </w:rPr>
        <w:t>artículo</w:t>
      </w:r>
      <w:r w:rsidR="009D051B" w:rsidRPr="00297110">
        <w:rPr>
          <w:rFonts w:ascii="Arial" w:hAnsi="Arial" w:cs="Arial"/>
          <w:sz w:val="24"/>
          <w:szCs w:val="24"/>
        </w:rPr>
        <w:t xml:space="preserve"> 324 de la constitución fija los marcos para la participación de las diferentes rentas departamentales que se causen Bogotá, disposición establecida desde 1945. </w:t>
      </w:r>
    </w:p>
    <w:p w:rsidR="00DD48F4" w:rsidRPr="00297110" w:rsidRDefault="00DD48F4" w:rsidP="00DD48F4">
      <w:pPr>
        <w:jc w:val="both"/>
        <w:rPr>
          <w:rFonts w:ascii="Arial" w:hAnsi="Arial" w:cs="Arial"/>
          <w:sz w:val="24"/>
          <w:szCs w:val="24"/>
        </w:rPr>
      </w:pPr>
      <w:r w:rsidRPr="00297110">
        <w:rPr>
          <w:rFonts w:ascii="Arial" w:hAnsi="Arial" w:cs="Arial"/>
          <w:sz w:val="24"/>
          <w:szCs w:val="24"/>
        </w:rPr>
        <w:t>Los elementos de tipo histórico y legal dan cuenta que el espíritu del constituyente derivado y del legislador ha sido mantener a Bogotá como capital de departamento de Cundinamarca debido a la estrecha relación territorial, fiscal y política entre estas entidades territoriales.</w:t>
      </w:r>
    </w:p>
    <w:p w:rsidR="00903546" w:rsidRPr="00297110" w:rsidRDefault="00402B4B" w:rsidP="00782838">
      <w:pPr>
        <w:jc w:val="both"/>
        <w:rPr>
          <w:rFonts w:ascii="Arial" w:hAnsi="Arial" w:cs="Arial"/>
          <w:sz w:val="24"/>
          <w:szCs w:val="24"/>
        </w:rPr>
      </w:pPr>
      <w:r w:rsidRPr="00297110">
        <w:rPr>
          <w:rFonts w:ascii="Arial" w:hAnsi="Arial" w:cs="Arial"/>
          <w:sz w:val="24"/>
          <w:szCs w:val="24"/>
        </w:rPr>
        <w:t xml:space="preserve">Finalmente, la exposición de motivos presenta como argumento las  características de los distritos y los requisitos de creación consagrados en la ley 1617 artículo 8 reformado por el artículo 124 de la Ley 1955 de 2019, sin embargo es de resaltar que en la actualidad el municipio de Soacha no presenta tal naturaleza. </w:t>
      </w:r>
    </w:p>
    <w:p w:rsidR="00297110" w:rsidRDefault="00297110" w:rsidP="00402B4B">
      <w:pPr>
        <w:rPr>
          <w:rFonts w:ascii="Arial" w:hAnsi="Arial" w:cs="Arial"/>
          <w:b/>
          <w:sz w:val="24"/>
          <w:szCs w:val="24"/>
        </w:rPr>
      </w:pPr>
    </w:p>
    <w:p w:rsidR="00402B4B" w:rsidRPr="00297110" w:rsidRDefault="00903546" w:rsidP="00402B4B">
      <w:pPr>
        <w:rPr>
          <w:rFonts w:ascii="Arial" w:hAnsi="Arial" w:cs="Arial"/>
          <w:sz w:val="24"/>
          <w:szCs w:val="24"/>
        </w:rPr>
      </w:pPr>
      <w:r w:rsidRPr="00297110">
        <w:rPr>
          <w:rFonts w:ascii="Arial" w:hAnsi="Arial" w:cs="Arial"/>
          <w:b/>
          <w:sz w:val="24"/>
          <w:szCs w:val="24"/>
        </w:rPr>
        <w:lastRenderedPageBreak/>
        <w:t xml:space="preserve">3.2  </w:t>
      </w:r>
      <w:r w:rsidR="00F949D0" w:rsidRPr="00297110">
        <w:rPr>
          <w:rFonts w:ascii="Arial" w:hAnsi="Arial" w:cs="Arial"/>
          <w:b/>
          <w:sz w:val="24"/>
          <w:szCs w:val="24"/>
        </w:rPr>
        <w:t>Económico -</w:t>
      </w:r>
      <w:r w:rsidRPr="00297110">
        <w:rPr>
          <w:rFonts w:ascii="Arial" w:hAnsi="Arial" w:cs="Arial"/>
          <w:b/>
          <w:sz w:val="24"/>
          <w:szCs w:val="24"/>
        </w:rPr>
        <w:t xml:space="preserve">Fiscal </w:t>
      </w:r>
    </w:p>
    <w:p w:rsidR="0080487F" w:rsidRDefault="00903546" w:rsidP="00903546">
      <w:pPr>
        <w:contextualSpacing/>
        <w:jc w:val="both"/>
        <w:rPr>
          <w:rFonts w:ascii="Arial" w:hAnsi="Arial" w:cs="Arial"/>
          <w:sz w:val="24"/>
          <w:szCs w:val="24"/>
        </w:rPr>
      </w:pPr>
      <w:r w:rsidRPr="00297110">
        <w:rPr>
          <w:rFonts w:ascii="Arial" w:hAnsi="Arial" w:cs="Arial"/>
          <w:sz w:val="24"/>
          <w:szCs w:val="24"/>
        </w:rPr>
        <w:t xml:space="preserve">El proyecto de Acto Legislativo es preciso en resaltar la historia y geografía del municipio, su vocación económica, su contribución a la economía </w:t>
      </w:r>
      <w:r w:rsidR="00CC44B2" w:rsidRPr="00297110">
        <w:rPr>
          <w:rFonts w:ascii="Arial" w:hAnsi="Arial" w:cs="Arial"/>
          <w:sz w:val="24"/>
          <w:szCs w:val="24"/>
        </w:rPr>
        <w:t xml:space="preserve">de la región, los componentes sociales entre otros, sin embargo la argumentación presentada no incluye todas las variables que justifiquen el cambio constitucional </w:t>
      </w:r>
      <w:r w:rsidR="0080487F">
        <w:rPr>
          <w:rFonts w:ascii="Arial" w:hAnsi="Arial" w:cs="Arial"/>
          <w:sz w:val="24"/>
          <w:szCs w:val="24"/>
        </w:rPr>
        <w:t xml:space="preserve">pretendido. </w:t>
      </w:r>
    </w:p>
    <w:p w:rsidR="0080487F" w:rsidRDefault="0080487F" w:rsidP="00903546">
      <w:pPr>
        <w:contextualSpacing/>
        <w:jc w:val="both"/>
        <w:rPr>
          <w:rFonts w:ascii="Arial" w:hAnsi="Arial" w:cs="Arial"/>
          <w:sz w:val="24"/>
          <w:szCs w:val="24"/>
        </w:rPr>
      </w:pPr>
    </w:p>
    <w:p w:rsidR="00CC44B2" w:rsidRDefault="0080487F" w:rsidP="00903546">
      <w:pPr>
        <w:contextualSpacing/>
        <w:jc w:val="both"/>
        <w:rPr>
          <w:rFonts w:ascii="Arial" w:hAnsi="Arial" w:cs="Arial"/>
          <w:sz w:val="24"/>
          <w:szCs w:val="24"/>
        </w:rPr>
      </w:pPr>
      <w:r>
        <w:rPr>
          <w:rFonts w:ascii="Arial" w:hAnsi="Arial" w:cs="Arial"/>
          <w:sz w:val="24"/>
          <w:szCs w:val="24"/>
        </w:rPr>
        <w:t xml:space="preserve">Al respecto se mencionan los elementos que </w:t>
      </w:r>
      <w:r w:rsidR="00D11208">
        <w:rPr>
          <w:rFonts w:ascii="Arial" w:hAnsi="Arial" w:cs="Arial"/>
          <w:sz w:val="24"/>
          <w:szCs w:val="24"/>
        </w:rPr>
        <w:t>desconoce</w:t>
      </w:r>
      <w:r>
        <w:rPr>
          <w:rFonts w:ascii="Arial" w:hAnsi="Arial" w:cs="Arial"/>
          <w:sz w:val="24"/>
          <w:szCs w:val="24"/>
        </w:rPr>
        <w:t xml:space="preserve"> el proyecto de Acto Legislativo en cuestión</w:t>
      </w:r>
      <w:r w:rsidR="00CC44B2" w:rsidRPr="00297110">
        <w:rPr>
          <w:rFonts w:ascii="Arial" w:hAnsi="Arial" w:cs="Arial"/>
          <w:sz w:val="24"/>
          <w:szCs w:val="24"/>
        </w:rPr>
        <w:t>:</w:t>
      </w:r>
    </w:p>
    <w:p w:rsidR="0080487F" w:rsidRPr="00297110" w:rsidRDefault="0080487F" w:rsidP="00903546">
      <w:pPr>
        <w:contextualSpacing/>
        <w:jc w:val="both"/>
        <w:rPr>
          <w:rFonts w:ascii="Arial" w:hAnsi="Arial" w:cs="Arial"/>
          <w:sz w:val="24"/>
          <w:szCs w:val="24"/>
        </w:rPr>
      </w:pPr>
    </w:p>
    <w:p w:rsidR="00486179" w:rsidRPr="00486179" w:rsidRDefault="00FB3725" w:rsidP="00486179">
      <w:pPr>
        <w:pStyle w:val="Prrafodelista"/>
        <w:numPr>
          <w:ilvl w:val="0"/>
          <w:numId w:val="4"/>
        </w:numPr>
        <w:jc w:val="both"/>
        <w:rPr>
          <w:rFonts w:ascii="Arial" w:eastAsia="Times New Roman" w:hAnsi="Arial" w:cs="Arial"/>
          <w:color w:val="000000"/>
          <w:sz w:val="24"/>
          <w:szCs w:val="24"/>
          <w:lang w:eastAsia="es-CO"/>
        </w:rPr>
      </w:pPr>
      <w:r w:rsidRPr="00486179">
        <w:rPr>
          <w:rFonts w:ascii="Arial" w:hAnsi="Arial" w:cs="Arial"/>
          <w:sz w:val="24"/>
          <w:szCs w:val="24"/>
        </w:rPr>
        <w:t>Aunque</w:t>
      </w:r>
      <w:r w:rsidR="00852AE3" w:rsidRPr="00486179">
        <w:rPr>
          <w:rFonts w:ascii="Arial" w:hAnsi="Arial" w:cs="Arial"/>
          <w:sz w:val="24"/>
          <w:szCs w:val="24"/>
        </w:rPr>
        <w:t xml:space="preserve"> el municipio ha tenido un crecimiento económico </w:t>
      </w:r>
      <w:r w:rsidRPr="00486179">
        <w:rPr>
          <w:rFonts w:ascii="Arial" w:hAnsi="Arial" w:cs="Arial"/>
          <w:sz w:val="24"/>
          <w:szCs w:val="24"/>
        </w:rPr>
        <w:t>y como se menciona en la exposición de motivos presentó un valor agregado de 5506.65 millones para el 2020</w:t>
      </w:r>
      <w:r w:rsidR="00486179" w:rsidRPr="00486179">
        <w:rPr>
          <w:rFonts w:ascii="Arial" w:hAnsi="Arial" w:cs="Arial"/>
          <w:sz w:val="24"/>
          <w:szCs w:val="24"/>
        </w:rPr>
        <w:t xml:space="preserve"> producto de los bienes y servicios producidos</w:t>
      </w:r>
      <w:r w:rsidRPr="00486179">
        <w:rPr>
          <w:rFonts w:ascii="Arial" w:hAnsi="Arial" w:cs="Arial"/>
          <w:sz w:val="24"/>
          <w:szCs w:val="24"/>
        </w:rPr>
        <w:t>,</w:t>
      </w:r>
      <w:r w:rsidR="00486179" w:rsidRPr="00486179">
        <w:rPr>
          <w:rFonts w:ascii="Arial" w:hAnsi="Arial" w:cs="Arial"/>
          <w:sz w:val="24"/>
          <w:szCs w:val="24"/>
        </w:rPr>
        <w:t xml:space="preserve"> este indicador no da cuenta con certeza de </w:t>
      </w:r>
      <w:r w:rsidR="00486179">
        <w:rPr>
          <w:rFonts w:ascii="Arial" w:hAnsi="Arial" w:cs="Arial"/>
          <w:sz w:val="24"/>
          <w:szCs w:val="24"/>
        </w:rPr>
        <w:t>la importancia del municipio para ser capital del departamento ya que</w:t>
      </w:r>
      <w:r w:rsidR="00E45B8F">
        <w:rPr>
          <w:rFonts w:ascii="Arial" w:hAnsi="Arial" w:cs="Arial"/>
          <w:sz w:val="24"/>
          <w:szCs w:val="24"/>
        </w:rPr>
        <w:t xml:space="preserve"> obvia indicadores como el valor per cápita que resultarían más apropiados para tal fin </w:t>
      </w:r>
      <w:r w:rsidR="00486179">
        <w:rPr>
          <w:rFonts w:ascii="Arial" w:hAnsi="Arial" w:cs="Arial"/>
          <w:sz w:val="24"/>
          <w:szCs w:val="24"/>
        </w:rPr>
        <w:t xml:space="preserve"> </w:t>
      </w:r>
    </w:p>
    <w:p w:rsidR="00486179" w:rsidRPr="00486179" w:rsidRDefault="00486179" w:rsidP="00486179">
      <w:pPr>
        <w:pStyle w:val="Prrafodelista"/>
        <w:ind w:left="360"/>
        <w:jc w:val="both"/>
        <w:rPr>
          <w:rFonts w:ascii="Arial" w:eastAsia="Times New Roman" w:hAnsi="Arial" w:cs="Arial"/>
          <w:color w:val="000000"/>
          <w:sz w:val="24"/>
          <w:szCs w:val="24"/>
          <w:lang w:eastAsia="es-CO"/>
        </w:rPr>
      </w:pPr>
    </w:p>
    <w:p w:rsidR="00E45B8F" w:rsidRPr="00EE720A" w:rsidRDefault="00486179" w:rsidP="00E45B8F">
      <w:pPr>
        <w:pStyle w:val="Prrafodelista"/>
        <w:ind w:left="360"/>
        <w:jc w:val="both"/>
        <w:rPr>
          <w:rFonts w:ascii="Arial" w:hAnsi="Arial" w:cs="Arial"/>
          <w:sz w:val="24"/>
        </w:rPr>
      </w:pPr>
      <w:r w:rsidRPr="00486179">
        <w:rPr>
          <w:rFonts w:ascii="Arial" w:eastAsia="Times New Roman" w:hAnsi="Arial" w:cs="Arial"/>
          <w:sz w:val="24"/>
          <w:szCs w:val="24"/>
          <w:lang w:eastAsia="es-CO"/>
        </w:rPr>
        <w:t xml:space="preserve">Municipios como Cota, </w:t>
      </w:r>
      <w:proofErr w:type="spellStart"/>
      <w:r w:rsidRPr="00486179">
        <w:rPr>
          <w:rFonts w:ascii="Arial" w:eastAsia="Times New Roman" w:hAnsi="Arial" w:cs="Arial"/>
          <w:sz w:val="24"/>
          <w:szCs w:val="24"/>
          <w:lang w:eastAsia="es-CO"/>
        </w:rPr>
        <w:t>Tocancipa</w:t>
      </w:r>
      <w:proofErr w:type="spellEnd"/>
      <w:r w:rsidRPr="00486179">
        <w:rPr>
          <w:rFonts w:ascii="Arial" w:eastAsia="Times New Roman" w:hAnsi="Arial" w:cs="Arial"/>
          <w:sz w:val="24"/>
          <w:szCs w:val="24"/>
          <w:lang w:eastAsia="es-CO"/>
        </w:rPr>
        <w:t xml:space="preserve">, Sopo, Facatativá, Chía, Funza entre otros, presenta un mayor valor per cápita que Soacha lo cual resulta más importante toda vez que este indicador toma </w:t>
      </w:r>
      <w:r w:rsidR="00673D7C" w:rsidRPr="00EE720A">
        <w:rPr>
          <w:rFonts w:ascii="Arial" w:hAnsi="Arial" w:cs="Arial"/>
          <w:sz w:val="24"/>
        </w:rPr>
        <w:t xml:space="preserve">el ingreso de la </w:t>
      </w:r>
      <w:r w:rsidRPr="00EE720A">
        <w:rPr>
          <w:rFonts w:ascii="Arial" w:hAnsi="Arial" w:cs="Arial"/>
          <w:sz w:val="24"/>
        </w:rPr>
        <w:t xml:space="preserve">entidad territorial con su </w:t>
      </w:r>
      <w:bookmarkStart w:id="0" w:name="_GoBack"/>
      <w:r w:rsidRPr="00EE720A">
        <w:rPr>
          <w:rFonts w:ascii="Arial" w:hAnsi="Arial" w:cs="Arial"/>
          <w:sz w:val="24"/>
        </w:rPr>
        <w:t>población.</w:t>
      </w:r>
    </w:p>
    <w:tbl>
      <w:tblPr>
        <w:tblpPr w:leftFromText="141" w:rightFromText="141" w:vertAnchor="text" w:horzAnchor="margin" w:tblpY="91"/>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7"/>
        <w:gridCol w:w="1945"/>
        <w:gridCol w:w="1211"/>
        <w:gridCol w:w="2410"/>
      </w:tblGrid>
      <w:tr w:rsidR="00E45B8F" w:rsidRPr="00E45B8F" w:rsidTr="009933D4">
        <w:trPr>
          <w:trHeight w:val="154"/>
        </w:trPr>
        <w:tc>
          <w:tcPr>
            <w:tcW w:w="1517" w:type="dxa"/>
            <w:shd w:val="clear" w:color="auto" w:fill="auto"/>
            <w:noWrap/>
            <w:vAlign w:val="bottom"/>
            <w:hideMark/>
          </w:tcPr>
          <w:bookmarkEnd w:id="0"/>
          <w:p w:rsidR="00E45B8F" w:rsidRPr="00E45B8F" w:rsidRDefault="00E45B8F" w:rsidP="00E45B8F">
            <w:pPr>
              <w:spacing w:after="0" w:line="240" w:lineRule="auto"/>
              <w:jc w:val="center"/>
              <w:rPr>
                <w:rFonts w:ascii="Calibri" w:eastAsia="Times New Roman" w:hAnsi="Calibri" w:cs="Calibri"/>
                <w:b/>
                <w:bCs/>
                <w:color w:val="000000"/>
                <w:lang w:eastAsia="es-CO"/>
              </w:rPr>
            </w:pPr>
            <w:r w:rsidRPr="00E45B8F">
              <w:rPr>
                <w:rFonts w:ascii="Calibri" w:eastAsia="Times New Roman" w:hAnsi="Calibri" w:cs="Calibri"/>
                <w:b/>
                <w:bCs/>
                <w:color w:val="000000"/>
                <w:lang w:eastAsia="es-CO"/>
              </w:rPr>
              <w:t>MUN</w:t>
            </w:r>
          </w:p>
        </w:tc>
        <w:tc>
          <w:tcPr>
            <w:tcW w:w="1945" w:type="dxa"/>
            <w:shd w:val="clear" w:color="auto" w:fill="auto"/>
            <w:noWrap/>
            <w:vAlign w:val="bottom"/>
            <w:hideMark/>
          </w:tcPr>
          <w:p w:rsidR="00E45B8F" w:rsidRPr="00E45B8F" w:rsidRDefault="00E45B8F" w:rsidP="00E45B8F">
            <w:pPr>
              <w:spacing w:after="0" w:line="240" w:lineRule="auto"/>
              <w:jc w:val="center"/>
              <w:rPr>
                <w:rFonts w:ascii="Calibri" w:eastAsia="Times New Roman" w:hAnsi="Calibri" w:cs="Calibri"/>
                <w:b/>
                <w:bCs/>
                <w:color w:val="000000"/>
                <w:lang w:eastAsia="es-CO"/>
              </w:rPr>
            </w:pPr>
            <w:r w:rsidRPr="00E45B8F">
              <w:rPr>
                <w:rFonts w:ascii="Calibri" w:eastAsia="Times New Roman" w:hAnsi="Calibri" w:cs="Calibri"/>
                <w:b/>
                <w:bCs/>
                <w:color w:val="000000"/>
                <w:lang w:eastAsia="es-CO"/>
              </w:rPr>
              <w:t>VALOR_AGREGADO (MMCOP)</w:t>
            </w:r>
          </w:p>
        </w:tc>
        <w:tc>
          <w:tcPr>
            <w:tcW w:w="1211" w:type="dxa"/>
            <w:shd w:val="clear" w:color="auto" w:fill="auto"/>
            <w:noWrap/>
            <w:vAlign w:val="bottom"/>
            <w:hideMark/>
          </w:tcPr>
          <w:p w:rsidR="00E45B8F" w:rsidRPr="00E45B8F" w:rsidRDefault="00E45B8F" w:rsidP="00E45B8F">
            <w:pPr>
              <w:spacing w:after="0" w:line="240" w:lineRule="auto"/>
              <w:jc w:val="center"/>
              <w:rPr>
                <w:rFonts w:ascii="Calibri" w:eastAsia="Times New Roman" w:hAnsi="Calibri" w:cs="Calibri"/>
                <w:b/>
                <w:bCs/>
                <w:color w:val="000000"/>
                <w:lang w:eastAsia="es-CO"/>
              </w:rPr>
            </w:pPr>
            <w:r w:rsidRPr="00E45B8F">
              <w:rPr>
                <w:rFonts w:ascii="Calibri" w:eastAsia="Times New Roman" w:hAnsi="Calibri" w:cs="Calibri"/>
                <w:b/>
                <w:bCs/>
                <w:color w:val="000000"/>
                <w:lang w:eastAsia="es-CO"/>
              </w:rPr>
              <w:t>POBMUN</w:t>
            </w:r>
          </w:p>
        </w:tc>
        <w:tc>
          <w:tcPr>
            <w:tcW w:w="2410" w:type="dxa"/>
            <w:shd w:val="clear" w:color="auto" w:fill="auto"/>
            <w:noWrap/>
            <w:vAlign w:val="bottom"/>
            <w:hideMark/>
          </w:tcPr>
          <w:p w:rsidR="00E45B8F" w:rsidRPr="00E45B8F" w:rsidRDefault="00E45B8F" w:rsidP="00E45B8F">
            <w:pPr>
              <w:spacing w:after="0" w:line="240" w:lineRule="auto"/>
              <w:jc w:val="center"/>
              <w:rPr>
                <w:rFonts w:ascii="Calibri" w:eastAsia="Times New Roman" w:hAnsi="Calibri" w:cs="Calibri"/>
                <w:b/>
                <w:bCs/>
                <w:color w:val="000000"/>
                <w:lang w:eastAsia="es-CO"/>
              </w:rPr>
            </w:pPr>
            <w:r w:rsidRPr="00E45B8F">
              <w:rPr>
                <w:rFonts w:ascii="Calibri" w:eastAsia="Times New Roman" w:hAnsi="Calibri" w:cs="Calibri"/>
                <w:b/>
                <w:bCs/>
                <w:color w:val="000000"/>
                <w:lang w:eastAsia="es-CO"/>
              </w:rPr>
              <w:t>VAMPC COP</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proofErr w:type="spellStart"/>
            <w:r w:rsidRPr="00E45B8F">
              <w:rPr>
                <w:rFonts w:ascii="Calibri" w:eastAsia="Times New Roman" w:hAnsi="Calibri" w:cs="Calibri"/>
                <w:color w:val="000000"/>
                <w:lang w:eastAsia="es-CO"/>
              </w:rPr>
              <w:t>Tocancipá</w:t>
            </w:r>
            <w:proofErr w:type="spellEnd"/>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4.208</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45.714</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92.054.792</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Cota</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2.983</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36.992</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80.633.068</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proofErr w:type="spellStart"/>
            <w:r w:rsidRPr="00E45B8F">
              <w:rPr>
                <w:rFonts w:ascii="Calibri" w:eastAsia="Times New Roman" w:hAnsi="Calibri" w:cs="Calibri"/>
                <w:color w:val="000000"/>
                <w:lang w:eastAsia="es-CO"/>
              </w:rPr>
              <w:t>Tenjo</w:t>
            </w:r>
            <w:proofErr w:type="spellEnd"/>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1.233</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24.096</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51.157.118</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Sopó</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918</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28.999</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31.673.185</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Funza</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2.742</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105.086</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26.089.444</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Chía</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3.094</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149.570</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20.686.847</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Cajicá</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1.760</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92.967</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18.932.480</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Facatativá</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2.767</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155.978</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17.736.954</w:t>
            </w:r>
          </w:p>
        </w:tc>
      </w:tr>
      <w:tr w:rsidR="00E45B8F" w:rsidRPr="00E45B8F" w:rsidTr="009933D4">
        <w:trPr>
          <w:trHeight w:val="154"/>
        </w:trPr>
        <w:tc>
          <w:tcPr>
            <w:tcW w:w="1517" w:type="dxa"/>
            <w:shd w:val="clear" w:color="auto" w:fill="auto"/>
            <w:noWrap/>
            <w:vAlign w:val="bottom"/>
            <w:hideMark/>
          </w:tcPr>
          <w:p w:rsidR="00E45B8F" w:rsidRPr="00E45B8F" w:rsidRDefault="00E45B8F" w:rsidP="00E45B8F">
            <w:pPr>
              <w:spacing w:after="0" w:line="240" w:lineRule="auto"/>
              <w:rPr>
                <w:rFonts w:ascii="Calibri" w:eastAsia="Times New Roman" w:hAnsi="Calibri" w:cs="Calibri"/>
                <w:color w:val="000000"/>
                <w:lang w:eastAsia="es-CO"/>
              </w:rPr>
            </w:pPr>
            <w:r w:rsidRPr="00E45B8F">
              <w:rPr>
                <w:rFonts w:ascii="Calibri" w:eastAsia="Times New Roman" w:hAnsi="Calibri" w:cs="Calibri"/>
                <w:color w:val="000000"/>
                <w:lang w:eastAsia="es-CO"/>
              </w:rPr>
              <w:t>Soacha</w:t>
            </w:r>
          </w:p>
        </w:tc>
        <w:tc>
          <w:tcPr>
            <w:tcW w:w="1945"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 </w:t>
            </w:r>
            <w:r w:rsidR="00E45B8F" w:rsidRPr="00E45B8F">
              <w:rPr>
                <w:rFonts w:ascii="Calibri" w:eastAsia="Times New Roman" w:hAnsi="Calibri" w:cs="Calibri"/>
                <w:color w:val="000000"/>
                <w:lang w:eastAsia="es-CO"/>
              </w:rPr>
              <w:t>5.507</w:t>
            </w:r>
          </w:p>
        </w:tc>
        <w:tc>
          <w:tcPr>
            <w:tcW w:w="1211" w:type="dxa"/>
            <w:shd w:val="clear" w:color="auto" w:fill="auto"/>
            <w:noWrap/>
            <w:vAlign w:val="bottom"/>
            <w:hideMark/>
          </w:tcPr>
          <w:p w:rsidR="00E45B8F" w:rsidRPr="00E45B8F" w:rsidRDefault="00E45B8F" w:rsidP="00E45B8F">
            <w:pPr>
              <w:spacing w:after="0" w:line="240" w:lineRule="auto"/>
              <w:jc w:val="right"/>
              <w:rPr>
                <w:rFonts w:ascii="Calibri" w:eastAsia="Times New Roman" w:hAnsi="Calibri" w:cs="Calibri"/>
                <w:color w:val="000000"/>
                <w:lang w:eastAsia="es-CO"/>
              </w:rPr>
            </w:pPr>
            <w:r w:rsidRPr="00E45B8F">
              <w:rPr>
                <w:rFonts w:ascii="Calibri" w:eastAsia="Times New Roman" w:hAnsi="Calibri" w:cs="Calibri"/>
                <w:color w:val="000000"/>
                <w:lang w:eastAsia="es-CO"/>
              </w:rPr>
              <w:t>753.548</w:t>
            </w:r>
          </w:p>
        </w:tc>
        <w:tc>
          <w:tcPr>
            <w:tcW w:w="2410" w:type="dxa"/>
            <w:shd w:val="clear" w:color="auto" w:fill="auto"/>
            <w:noWrap/>
            <w:vAlign w:val="bottom"/>
            <w:hideMark/>
          </w:tcPr>
          <w:p w:rsidR="00E45B8F" w:rsidRPr="00E45B8F" w:rsidRDefault="009933D4" w:rsidP="009933D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w:t>
            </w:r>
            <w:r w:rsidR="00E45B8F" w:rsidRPr="00E45B8F">
              <w:rPr>
                <w:rFonts w:ascii="Calibri" w:eastAsia="Times New Roman" w:hAnsi="Calibri" w:cs="Calibri"/>
                <w:color w:val="000000"/>
                <w:lang w:eastAsia="es-CO"/>
              </w:rPr>
              <w:t>7.307.635</w:t>
            </w:r>
          </w:p>
        </w:tc>
      </w:tr>
    </w:tbl>
    <w:p w:rsidR="00E45B8F" w:rsidRPr="00E45B8F" w:rsidRDefault="00E45B8F" w:rsidP="00E45B8F">
      <w:pPr>
        <w:jc w:val="both"/>
        <w:rPr>
          <w:rStyle w:val="Textoennegrita"/>
          <w:rFonts w:ascii="Arial" w:hAnsi="Arial" w:cs="Arial"/>
          <w:b w:val="0"/>
          <w:bCs w:val="0"/>
          <w:sz w:val="24"/>
          <w:szCs w:val="24"/>
          <w:shd w:val="clear" w:color="auto" w:fill="F6F9FC"/>
        </w:rPr>
      </w:pPr>
    </w:p>
    <w:p w:rsidR="00E45B8F" w:rsidRPr="00486179" w:rsidRDefault="00E45B8F" w:rsidP="00486179">
      <w:pPr>
        <w:pStyle w:val="Prrafodelista"/>
        <w:ind w:left="360"/>
        <w:jc w:val="both"/>
        <w:rPr>
          <w:rStyle w:val="Textoennegrita"/>
          <w:rFonts w:ascii="Arial" w:hAnsi="Arial" w:cs="Arial"/>
          <w:b w:val="0"/>
          <w:bCs w:val="0"/>
          <w:sz w:val="24"/>
          <w:szCs w:val="24"/>
          <w:shd w:val="clear" w:color="auto" w:fill="F6F9FC"/>
        </w:rPr>
      </w:pPr>
    </w:p>
    <w:p w:rsidR="00486179" w:rsidRPr="00486179" w:rsidRDefault="00486179" w:rsidP="00486179">
      <w:pPr>
        <w:pStyle w:val="Prrafodelista"/>
        <w:ind w:left="360"/>
        <w:jc w:val="both"/>
        <w:rPr>
          <w:rFonts w:ascii="Arial" w:eastAsia="Times New Roman" w:hAnsi="Arial" w:cs="Arial"/>
          <w:color w:val="000000"/>
          <w:sz w:val="24"/>
          <w:szCs w:val="24"/>
          <w:lang w:eastAsia="es-CO"/>
        </w:rPr>
      </w:pPr>
    </w:p>
    <w:p w:rsidR="009933D4" w:rsidRPr="009933D4" w:rsidRDefault="009933D4" w:rsidP="009933D4">
      <w:pPr>
        <w:jc w:val="both"/>
        <w:rPr>
          <w:rFonts w:ascii="Arial" w:eastAsia="Times New Roman" w:hAnsi="Arial" w:cs="Arial"/>
          <w:color w:val="000000"/>
          <w:sz w:val="24"/>
          <w:szCs w:val="24"/>
          <w:lang w:eastAsia="es-CO"/>
        </w:rPr>
      </w:pPr>
    </w:p>
    <w:p w:rsidR="009933D4" w:rsidRPr="009933D4" w:rsidRDefault="009933D4" w:rsidP="009933D4">
      <w:pPr>
        <w:pStyle w:val="Prrafodelista"/>
        <w:ind w:left="360"/>
        <w:jc w:val="both"/>
        <w:rPr>
          <w:rFonts w:ascii="Arial" w:eastAsia="Times New Roman" w:hAnsi="Arial" w:cs="Arial"/>
          <w:color w:val="000000"/>
          <w:sz w:val="24"/>
          <w:szCs w:val="24"/>
          <w:lang w:eastAsia="es-CO"/>
        </w:rPr>
      </w:pPr>
    </w:p>
    <w:p w:rsidR="009933D4" w:rsidRPr="009933D4" w:rsidRDefault="009933D4" w:rsidP="009933D4">
      <w:pPr>
        <w:jc w:val="both"/>
        <w:rPr>
          <w:rFonts w:ascii="Arial" w:eastAsia="Times New Roman" w:hAnsi="Arial" w:cs="Arial"/>
          <w:color w:val="000000"/>
          <w:sz w:val="24"/>
          <w:szCs w:val="24"/>
          <w:lang w:eastAsia="es-CO"/>
        </w:rPr>
      </w:pPr>
    </w:p>
    <w:p w:rsidR="009933D4" w:rsidRDefault="009933D4" w:rsidP="009933D4">
      <w:pPr>
        <w:jc w:val="both"/>
        <w:rPr>
          <w:rFonts w:ascii="Arial" w:hAnsi="Arial" w:cs="Arial"/>
          <w:sz w:val="24"/>
          <w:szCs w:val="24"/>
        </w:rPr>
      </w:pPr>
    </w:p>
    <w:p w:rsidR="009933D4" w:rsidRDefault="009933D4" w:rsidP="009933D4">
      <w:pPr>
        <w:jc w:val="both"/>
        <w:rPr>
          <w:rFonts w:ascii="Arial" w:hAnsi="Arial" w:cs="Arial"/>
          <w:sz w:val="24"/>
          <w:szCs w:val="24"/>
        </w:rPr>
      </w:pPr>
    </w:p>
    <w:p w:rsidR="009F1782" w:rsidRPr="009933D4" w:rsidRDefault="009F1782" w:rsidP="009933D4">
      <w:pPr>
        <w:jc w:val="both"/>
        <w:rPr>
          <w:rFonts w:ascii="Arial" w:eastAsia="Times New Roman" w:hAnsi="Arial" w:cs="Arial"/>
          <w:color w:val="000000"/>
          <w:sz w:val="24"/>
          <w:szCs w:val="24"/>
          <w:lang w:eastAsia="es-CO"/>
        </w:rPr>
      </w:pPr>
    </w:p>
    <w:p w:rsidR="00A473E4" w:rsidRPr="00297110" w:rsidRDefault="00FB3725" w:rsidP="00A473E4">
      <w:pPr>
        <w:pStyle w:val="Prrafodelista"/>
        <w:numPr>
          <w:ilvl w:val="0"/>
          <w:numId w:val="4"/>
        </w:numPr>
        <w:jc w:val="both"/>
        <w:rPr>
          <w:rFonts w:ascii="Arial" w:eastAsia="Times New Roman" w:hAnsi="Arial" w:cs="Arial"/>
          <w:color w:val="000000"/>
          <w:sz w:val="24"/>
          <w:szCs w:val="24"/>
          <w:lang w:eastAsia="es-CO"/>
        </w:rPr>
      </w:pPr>
      <w:r w:rsidRPr="00297110">
        <w:rPr>
          <w:rFonts w:ascii="Arial" w:hAnsi="Arial" w:cs="Arial"/>
          <w:sz w:val="24"/>
          <w:szCs w:val="24"/>
        </w:rPr>
        <w:t xml:space="preserve"> </w:t>
      </w:r>
      <w:r w:rsidR="00782838">
        <w:rPr>
          <w:rFonts w:ascii="Arial" w:hAnsi="Arial" w:cs="Arial"/>
          <w:sz w:val="24"/>
          <w:szCs w:val="24"/>
        </w:rPr>
        <w:t>E</w:t>
      </w:r>
      <w:r w:rsidRPr="00297110">
        <w:rPr>
          <w:rFonts w:ascii="Arial" w:hAnsi="Arial" w:cs="Arial"/>
          <w:sz w:val="24"/>
          <w:szCs w:val="24"/>
        </w:rPr>
        <w:t xml:space="preserve">l municipio de Soacha </w:t>
      </w:r>
      <w:r w:rsidR="00782838">
        <w:rPr>
          <w:rFonts w:ascii="Arial" w:hAnsi="Arial" w:cs="Arial"/>
          <w:sz w:val="24"/>
          <w:szCs w:val="24"/>
        </w:rPr>
        <w:t>para el año 2021</w:t>
      </w:r>
      <w:r w:rsidRPr="00297110">
        <w:rPr>
          <w:rFonts w:ascii="Arial" w:hAnsi="Arial" w:cs="Arial"/>
          <w:sz w:val="24"/>
          <w:szCs w:val="24"/>
        </w:rPr>
        <w:t xml:space="preserve"> </w:t>
      </w:r>
      <w:r w:rsidR="00782838">
        <w:rPr>
          <w:rFonts w:ascii="Arial" w:hAnsi="Arial" w:cs="Arial"/>
          <w:sz w:val="24"/>
          <w:szCs w:val="24"/>
        </w:rPr>
        <w:t xml:space="preserve">presento un presupuesto </w:t>
      </w:r>
      <w:r w:rsidRPr="00297110">
        <w:rPr>
          <w:rFonts w:ascii="Arial" w:hAnsi="Arial" w:cs="Arial"/>
          <w:sz w:val="24"/>
          <w:szCs w:val="24"/>
        </w:rPr>
        <w:t xml:space="preserve">de </w:t>
      </w:r>
      <w:r w:rsidR="00782838">
        <w:rPr>
          <w:rFonts w:ascii="Arial" w:hAnsi="Arial" w:cs="Arial"/>
          <w:sz w:val="24"/>
          <w:szCs w:val="24"/>
        </w:rPr>
        <w:t xml:space="preserve">419 mil millones, por lo que se hace </w:t>
      </w:r>
      <w:r w:rsidR="0080487F">
        <w:rPr>
          <w:rFonts w:ascii="Arial" w:hAnsi="Arial" w:cs="Arial"/>
          <w:sz w:val="24"/>
          <w:szCs w:val="24"/>
        </w:rPr>
        <w:t>necesario</w:t>
      </w:r>
      <w:r w:rsidRPr="00297110">
        <w:rPr>
          <w:rFonts w:ascii="Arial" w:hAnsi="Arial" w:cs="Arial"/>
          <w:sz w:val="24"/>
          <w:szCs w:val="24"/>
        </w:rPr>
        <w:t xml:space="preserve"> mencionar que según el índice de desempeño fiscal del año 2021  el municipio de se encuentra en riesgo</w:t>
      </w:r>
      <w:r w:rsidR="0080487F">
        <w:rPr>
          <w:rFonts w:ascii="Arial" w:hAnsi="Arial" w:cs="Arial"/>
          <w:sz w:val="24"/>
          <w:szCs w:val="24"/>
        </w:rPr>
        <w:t xml:space="preserve">, </w:t>
      </w:r>
      <w:r w:rsidRPr="00297110">
        <w:rPr>
          <w:rFonts w:ascii="Arial" w:hAnsi="Arial" w:cs="Arial"/>
          <w:sz w:val="24"/>
          <w:szCs w:val="24"/>
        </w:rPr>
        <w:t xml:space="preserve"> lo</w:t>
      </w:r>
      <w:r w:rsidR="009F1782" w:rsidRPr="00297110">
        <w:rPr>
          <w:rFonts w:ascii="Arial" w:hAnsi="Arial" w:cs="Arial"/>
          <w:sz w:val="24"/>
          <w:szCs w:val="24"/>
        </w:rPr>
        <w:t xml:space="preserve"> cual implica que la gestión financiera del municipio que da cuenta de la sostenibilidad financiera a la luz de la viabilidad fiscal, la capacidad de generación de recursos </w:t>
      </w:r>
      <w:r w:rsidR="009F1782" w:rsidRPr="00297110">
        <w:rPr>
          <w:rFonts w:ascii="Arial" w:hAnsi="Arial" w:cs="Arial"/>
          <w:sz w:val="24"/>
          <w:szCs w:val="24"/>
        </w:rPr>
        <w:lastRenderedPageBreak/>
        <w:t>propios, el endeudamiento, los niveles de inversión y la capacidad de gestión financiera no sería la más</w:t>
      </w:r>
      <w:r w:rsidR="00782838">
        <w:rPr>
          <w:rFonts w:ascii="Arial" w:hAnsi="Arial" w:cs="Arial"/>
          <w:sz w:val="24"/>
          <w:szCs w:val="24"/>
        </w:rPr>
        <w:t xml:space="preserve"> </w:t>
      </w:r>
      <w:proofErr w:type="gramStart"/>
      <w:r w:rsidR="00782838">
        <w:rPr>
          <w:rFonts w:ascii="Arial" w:hAnsi="Arial" w:cs="Arial"/>
          <w:sz w:val="24"/>
          <w:szCs w:val="24"/>
        </w:rPr>
        <w:t xml:space="preserve">idónea </w:t>
      </w:r>
      <w:r w:rsidR="009F1782" w:rsidRPr="00297110">
        <w:rPr>
          <w:rFonts w:ascii="Arial" w:hAnsi="Arial" w:cs="Arial"/>
          <w:sz w:val="24"/>
          <w:szCs w:val="24"/>
        </w:rPr>
        <w:t>.</w:t>
      </w:r>
      <w:proofErr w:type="gramEnd"/>
      <w:r w:rsidR="009F1782" w:rsidRPr="00297110">
        <w:rPr>
          <w:rFonts w:ascii="Arial" w:hAnsi="Arial" w:cs="Arial"/>
          <w:sz w:val="24"/>
          <w:szCs w:val="24"/>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1750"/>
        <w:gridCol w:w="1465"/>
        <w:gridCol w:w="1286"/>
        <w:gridCol w:w="1049"/>
        <w:gridCol w:w="1202"/>
        <w:gridCol w:w="1257"/>
      </w:tblGrid>
      <w:tr w:rsidR="00A473E4" w:rsidRPr="00297110" w:rsidTr="00A473E4">
        <w:trPr>
          <w:trHeight w:val="694"/>
        </w:trPr>
        <w:tc>
          <w:tcPr>
            <w:tcW w:w="793" w:type="dxa"/>
            <w:shd w:val="clear" w:color="000000" w:fill="203764"/>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proofErr w:type="spellStart"/>
            <w:r w:rsidRPr="00A473E4">
              <w:rPr>
                <w:rFonts w:ascii="Arial" w:eastAsia="Times New Roman" w:hAnsi="Arial" w:cs="Arial"/>
                <w:b/>
                <w:bCs/>
                <w:color w:val="FFFFFF"/>
                <w:sz w:val="24"/>
                <w:szCs w:val="24"/>
                <w:lang w:eastAsia="es-CO"/>
              </w:rPr>
              <w:t>Codigo</w:t>
            </w:r>
            <w:proofErr w:type="spellEnd"/>
            <w:r w:rsidRPr="00A473E4">
              <w:rPr>
                <w:rFonts w:ascii="Arial" w:eastAsia="Times New Roman" w:hAnsi="Arial" w:cs="Arial"/>
                <w:b/>
                <w:bCs/>
                <w:color w:val="FFFFFF"/>
                <w:sz w:val="24"/>
                <w:szCs w:val="24"/>
                <w:lang w:eastAsia="es-CO"/>
              </w:rPr>
              <w:t xml:space="preserve"> DANE</w:t>
            </w:r>
          </w:p>
        </w:tc>
        <w:tc>
          <w:tcPr>
            <w:tcW w:w="1612" w:type="dxa"/>
            <w:shd w:val="clear" w:color="000000" w:fill="203764"/>
            <w:noWrap/>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Departamento</w:t>
            </w:r>
          </w:p>
        </w:tc>
        <w:tc>
          <w:tcPr>
            <w:tcW w:w="1421" w:type="dxa"/>
            <w:shd w:val="clear" w:color="000000" w:fill="203764"/>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Código Departamento</w:t>
            </w:r>
          </w:p>
        </w:tc>
        <w:tc>
          <w:tcPr>
            <w:tcW w:w="1536" w:type="dxa"/>
            <w:shd w:val="clear" w:color="000000" w:fill="203764"/>
            <w:noWrap/>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Municipio</w:t>
            </w:r>
          </w:p>
        </w:tc>
        <w:tc>
          <w:tcPr>
            <w:tcW w:w="931" w:type="dxa"/>
            <w:shd w:val="clear" w:color="000000" w:fill="203764"/>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 xml:space="preserve">Categoría Ley 617 </w:t>
            </w:r>
          </w:p>
        </w:tc>
        <w:tc>
          <w:tcPr>
            <w:tcW w:w="1050" w:type="dxa"/>
            <w:shd w:val="clear" w:color="000000" w:fill="203764"/>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Dotaciones Iniciales</w:t>
            </w:r>
          </w:p>
        </w:tc>
        <w:tc>
          <w:tcPr>
            <w:tcW w:w="1485" w:type="dxa"/>
            <w:shd w:val="clear" w:color="000000" w:fill="203764"/>
            <w:vAlign w:val="center"/>
            <w:hideMark/>
          </w:tcPr>
          <w:p w:rsidR="00A473E4" w:rsidRPr="00A473E4" w:rsidRDefault="00A473E4" w:rsidP="00A473E4">
            <w:pPr>
              <w:spacing w:after="0" w:line="240" w:lineRule="auto"/>
              <w:jc w:val="center"/>
              <w:rPr>
                <w:rFonts w:ascii="Arial" w:eastAsia="Times New Roman" w:hAnsi="Arial" w:cs="Arial"/>
                <w:b/>
                <w:bCs/>
                <w:color w:val="FFFFFF"/>
                <w:sz w:val="24"/>
                <w:szCs w:val="24"/>
                <w:lang w:eastAsia="es-CO"/>
              </w:rPr>
            </w:pPr>
            <w:r w:rsidRPr="00A473E4">
              <w:rPr>
                <w:rFonts w:ascii="Arial" w:eastAsia="Times New Roman" w:hAnsi="Arial" w:cs="Arial"/>
                <w:b/>
                <w:bCs/>
                <w:color w:val="FFFFFF"/>
                <w:sz w:val="24"/>
                <w:szCs w:val="24"/>
                <w:lang w:eastAsia="es-CO"/>
              </w:rPr>
              <w:t>Capitales</w:t>
            </w:r>
          </w:p>
        </w:tc>
      </w:tr>
      <w:tr w:rsidR="00A473E4" w:rsidRPr="00297110" w:rsidTr="00A473E4">
        <w:trPr>
          <w:trHeight w:val="190"/>
        </w:trPr>
        <w:tc>
          <w:tcPr>
            <w:tcW w:w="793" w:type="dxa"/>
            <w:shd w:val="clear" w:color="000000" w:fill="FFFFFF"/>
            <w:noWrap/>
            <w:vAlign w:val="bottom"/>
            <w:hideMark/>
          </w:tcPr>
          <w:p w:rsidR="00A473E4" w:rsidRPr="00A473E4" w:rsidRDefault="00A473E4" w:rsidP="00A473E4">
            <w:pPr>
              <w:spacing w:after="0" w:line="240" w:lineRule="auto"/>
              <w:rPr>
                <w:rFonts w:ascii="Arial" w:eastAsia="Times New Roman" w:hAnsi="Arial" w:cs="Arial"/>
                <w:sz w:val="24"/>
                <w:szCs w:val="24"/>
                <w:lang w:eastAsia="es-CO"/>
              </w:rPr>
            </w:pPr>
            <w:r w:rsidRPr="00A473E4">
              <w:rPr>
                <w:rFonts w:ascii="Arial" w:eastAsia="Times New Roman" w:hAnsi="Arial" w:cs="Arial"/>
                <w:sz w:val="24"/>
                <w:szCs w:val="24"/>
                <w:lang w:eastAsia="es-CO"/>
              </w:rPr>
              <w:t>25754</w:t>
            </w:r>
          </w:p>
        </w:tc>
        <w:tc>
          <w:tcPr>
            <w:tcW w:w="1612" w:type="dxa"/>
            <w:shd w:val="clear" w:color="000000" w:fill="FFFFFF"/>
            <w:noWrap/>
            <w:vAlign w:val="bottom"/>
            <w:hideMark/>
          </w:tcPr>
          <w:p w:rsidR="00A473E4" w:rsidRPr="00A473E4" w:rsidRDefault="00A473E4" w:rsidP="00A473E4">
            <w:pPr>
              <w:spacing w:after="0" w:line="240" w:lineRule="auto"/>
              <w:rPr>
                <w:rFonts w:ascii="Arial" w:eastAsia="Times New Roman" w:hAnsi="Arial" w:cs="Arial"/>
                <w:sz w:val="24"/>
                <w:szCs w:val="24"/>
                <w:lang w:eastAsia="es-CO"/>
              </w:rPr>
            </w:pPr>
            <w:r w:rsidRPr="00A473E4">
              <w:rPr>
                <w:rFonts w:ascii="Arial" w:eastAsia="Times New Roman" w:hAnsi="Arial" w:cs="Arial"/>
                <w:sz w:val="24"/>
                <w:szCs w:val="24"/>
                <w:lang w:eastAsia="es-CO"/>
              </w:rPr>
              <w:t>CUNDINAMARCA</w:t>
            </w:r>
          </w:p>
        </w:tc>
        <w:tc>
          <w:tcPr>
            <w:tcW w:w="1421" w:type="dxa"/>
            <w:shd w:val="clear" w:color="000000" w:fill="FFFFFF"/>
            <w:noWrap/>
            <w:vAlign w:val="bottom"/>
            <w:hideMark/>
          </w:tcPr>
          <w:p w:rsidR="00A473E4" w:rsidRPr="00A473E4" w:rsidRDefault="00A473E4" w:rsidP="00A473E4">
            <w:pPr>
              <w:spacing w:after="0" w:line="240" w:lineRule="auto"/>
              <w:rPr>
                <w:rFonts w:ascii="Arial" w:eastAsia="Times New Roman" w:hAnsi="Arial" w:cs="Arial"/>
                <w:sz w:val="24"/>
                <w:szCs w:val="24"/>
                <w:lang w:eastAsia="es-CO"/>
              </w:rPr>
            </w:pPr>
            <w:r w:rsidRPr="00A473E4">
              <w:rPr>
                <w:rFonts w:ascii="Arial" w:eastAsia="Times New Roman" w:hAnsi="Arial" w:cs="Arial"/>
                <w:sz w:val="24"/>
                <w:szCs w:val="24"/>
                <w:lang w:eastAsia="es-CO"/>
              </w:rPr>
              <w:t>25</w:t>
            </w:r>
          </w:p>
        </w:tc>
        <w:tc>
          <w:tcPr>
            <w:tcW w:w="1536" w:type="dxa"/>
            <w:shd w:val="clear" w:color="000000" w:fill="FFFFFF"/>
            <w:noWrap/>
            <w:vAlign w:val="bottom"/>
            <w:hideMark/>
          </w:tcPr>
          <w:p w:rsidR="00A473E4" w:rsidRPr="00A473E4" w:rsidRDefault="00A473E4" w:rsidP="00A473E4">
            <w:pPr>
              <w:spacing w:after="0" w:line="240" w:lineRule="auto"/>
              <w:rPr>
                <w:rFonts w:ascii="Arial" w:eastAsia="Times New Roman" w:hAnsi="Arial" w:cs="Arial"/>
                <w:sz w:val="24"/>
                <w:szCs w:val="24"/>
                <w:lang w:eastAsia="es-CO"/>
              </w:rPr>
            </w:pPr>
            <w:r w:rsidRPr="00A473E4">
              <w:rPr>
                <w:rFonts w:ascii="Arial" w:eastAsia="Times New Roman" w:hAnsi="Arial" w:cs="Arial"/>
                <w:sz w:val="24"/>
                <w:szCs w:val="24"/>
                <w:lang w:eastAsia="es-CO"/>
              </w:rPr>
              <w:t>SOACHA</w:t>
            </w:r>
          </w:p>
        </w:tc>
        <w:tc>
          <w:tcPr>
            <w:tcW w:w="931" w:type="dxa"/>
            <w:shd w:val="clear" w:color="000000" w:fill="FFFFFF"/>
            <w:noWrap/>
            <w:vAlign w:val="bottom"/>
            <w:hideMark/>
          </w:tcPr>
          <w:p w:rsidR="00A473E4" w:rsidRPr="00A473E4" w:rsidRDefault="00A473E4" w:rsidP="00A473E4">
            <w:pPr>
              <w:spacing w:after="0" w:line="240" w:lineRule="auto"/>
              <w:jc w:val="center"/>
              <w:rPr>
                <w:rFonts w:ascii="Arial" w:eastAsia="Times New Roman" w:hAnsi="Arial" w:cs="Arial"/>
                <w:sz w:val="24"/>
                <w:szCs w:val="24"/>
                <w:lang w:eastAsia="es-CO"/>
              </w:rPr>
            </w:pPr>
            <w:r w:rsidRPr="00A473E4">
              <w:rPr>
                <w:rFonts w:ascii="Arial" w:eastAsia="Times New Roman" w:hAnsi="Arial" w:cs="Arial"/>
                <w:sz w:val="24"/>
                <w:szCs w:val="24"/>
                <w:lang w:eastAsia="es-CO"/>
              </w:rPr>
              <w:t>1</w:t>
            </w:r>
          </w:p>
        </w:tc>
        <w:tc>
          <w:tcPr>
            <w:tcW w:w="1050" w:type="dxa"/>
            <w:shd w:val="clear" w:color="000000" w:fill="FFFFFF"/>
            <w:noWrap/>
            <w:vAlign w:val="bottom"/>
            <w:hideMark/>
          </w:tcPr>
          <w:p w:rsidR="00A473E4" w:rsidRPr="00A473E4" w:rsidRDefault="00A473E4" w:rsidP="00A473E4">
            <w:pPr>
              <w:spacing w:after="0" w:line="240" w:lineRule="auto"/>
              <w:jc w:val="center"/>
              <w:rPr>
                <w:rFonts w:ascii="Arial" w:eastAsia="Times New Roman" w:hAnsi="Arial" w:cs="Arial"/>
                <w:sz w:val="24"/>
                <w:szCs w:val="24"/>
                <w:lang w:eastAsia="es-CO"/>
              </w:rPr>
            </w:pPr>
            <w:r w:rsidRPr="00A473E4">
              <w:rPr>
                <w:rFonts w:ascii="Arial" w:eastAsia="Times New Roman" w:hAnsi="Arial" w:cs="Arial"/>
                <w:sz w:val="24"/>
                <w:szCs w:val="24"/>
                <w:lang w:eastAsia="es-CO"/>
              </w:rPr>
              <w:t>G1</w:t>
            </w:r>
          </w:p>
        </w:tc>
        <w:tc>
          <w:tcPr>
            <w:tcW w:w="1485" w:type="dxa"/>
            <w:shd w:val="clear" w:color="000000" w:fill="FFFFFF"/>
            <w:noWrap/>
            <w:vAlign w:val="bottom"/>
            <w:hideMark/>
          </w:tcPr>
          <w:p w:rsidR="00A473E4" w:rsidRPr="00A473E4" w:rsidRDefault="00A473E4" w:rsidP="00A473E4">
            <w:pPr>
              <w:spacing w:after="0" w:line="240" w:lineRule="auto"/>
              <w:jc w:val="center"/>
              <w:rPr>
                <w:rFonts w:ascii="Arial" w:eastAsia="Times New Roman" w:hAnsi="Arial" w:cs="Arial"/>
                <w:sz w:val="24"/>
                <w:szCs w:val="24"/>
                <w:lang w:eastAsia="es-CO"/>
              </w:rPr>
            </w:pPr>
            <w:proofErr w:type="spellStart"/>
            <w:r w:rsidRPr="00A473E4">
              <w:rPr>
                <w:rFonts w:ascii="Arial" w:eastAsia="Times New Roman" w:hAnsi="Arial" w:cs="Arial"/>
                <w:sz w:val="24"/>
                <w:szCs w:val="24"/>
                <w:lang w:eastAsia="es-CO"/>
              </w:rPr>
              <w:t>Asocapitales</w:t>
            </w:r>
            <w:proofErr w:type="spellEnd"/>
          </w:p>
        </w:tc>
      </w:tr>
    </w:tbl>
    <w:p w:rsidR="00A473E4" w:rsidRPr="00297110" w:rsidRDefault="00A473E4" w:rsidP="00A473E4">
      <w:pPr>
        <w:jc w:val="both"/>
        <w:rPr>
          <w:rFonts w:ascii="Arial" w:eastAsia="Times New Roman" w:hAnsi="Arial" w:cs="Arial"/>
          <w:color w:val="000000"/>
          <w:sz w:val="24"/>
          <w:szCs w:val="24"/>
          <w:lang w:eastAsia="es-CO"/>
        </w:rPr>
      </w:pPr>
    </w:p>
    <w:p w:rsidR="00A473E4" w:rsidRPr="00297110" w:rsidRDefault="009F1782" w:rsidP="00A473E4">
      <w:pPr>
        <w:jc w:val="both"/>
        <w:rPr>
          <w:rFonts w:ascii="Arial" w:eastAsia="Times New Roman" w:hAnsi="Arial" w:cs="Arial"/>
          <w:color w:val="000000"/>
          <w:sz w:val="24"/>
          <w:szCs w:val="24"/>
          <w:lang w:eastAsia="es-CO"/>
        </w:rPr>
      </w:pPr>
      <w:r w:rsidRPr="00297110">
        <w:rPr>
          <w:rFonts w:ascii="Arial" w:hAnsi="Arial" w:cs="Arial"/>
          <w:noProof/>
          <w:sz w:val="24"/>
          <w:szCs w:val="24"/>
          <w:lang w:eastAsia="es-CO"/>
        </w:rPr>
        <w:drawing>
          <wp:inline distT="0" distB="0" distL="0" distR="0">
            <wp:extent cx="5876694" cy="647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549" cy="649447"/>
                    </a:xfrm>
                    <a:prstGeom prst="rect">
                      <a:avLst/>
                    </a:prstGeom>
                    <a:noFill/>
                    <a:ln>
                      <a:noFill/>
                    </a:ln>
                  </pic:spPr>
                </pic:pic>
              </a:graphicData>
            </a:graphic>
          </wp:inline>
        </w:drawing>
      </w:r>
    </w:p>
    <w:p w:rsidR="00A473E4" w:rsidRPr="00297110" w:rsidRDefault="00A473E4" w:rsidP="00A473E4">
      <w:pPr>
        <w:jc w:val="both"/>
        <w:rPr>
          <w:rFonts w:ascii="Arial" w:eastAsia="Times New Roman" w:hAnsi="Arial" w:cs="Arial"/>
          <w:color w:val="000000"/>
          <w:sz w:val="24"/>
          <w:szCs w:val="24"/>
          <w:lang w:eastAsia="es-CO"/>
        </w:rPr>
      </w:pPr>
    </w:p>
    <w:p w:rsidR="00FB3725" w:rsidRPr="00297110" w:rsidRDefault="009F1782" w:rsidP="00FB3725">
      <w:pPr>
        <w:jc w:val="both"/>
        <w:rPr>
          <w:rFonts w:ascii="Arial" w:eastAsia="Times New Roman" w:hAnsi="Arial" w:cs="Arial"/>
          <w:color w:val="000000"/>
          <w:sz w:val="24"/>
          <w:szCs w:val="24"/>
          <w:lang w:eastAsia="es-CO"/>
        </w:rPr>
      </w:pPr>
      <w:r w:rsidRPr="00297110">
        <w:rPr>
          <w:rFonts w:ascii="Arial" w:hAnsi="Arial" w:cs="Arial"/>
          <w:noProof/>
          <w:sz w:val="24"/>
          <w:szCs w:val="24"/>
          <w:lang w:eastAsia="es-CO"/>
        </w:rPr>
        <w:drawing>
          <wp:inline distT="0" distB="0" distL="0" distR="0" wp14:anchorId="0AE9AD11" wp14:editId="41A10E29">
            <wp:extent cx="5612130" cy="90710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07109"/>
                    </a:xfrm>
                    <a:prstGeom prst="rect">
                      <a:avLst/>
                    </a:prstGeom>
                    <a:noFill/>
                    <a:ln>
                      <a:noFill/>
                    </a:ln>
                  </pic:spPr>
                </pic:pic>
              </a:graphicData>
            </a:graphic>
          </wp:inline>
        </w:drawing>
      </w:r>
    </w:p>
    <w:p w:rsidR="00FB3725" w:rsidRPr="00297110" w:rsidRDefault="009F1782" w:rsidP="00FB3725">
      <w:pPr>
        <w:jc w:val="both"/>
        <w:rPr>
          <w:rFonts w:ascii="Arial" w:eastAsia="Times New Roman" w:hAnsi="Arial" w:cs="Arial"/>
          <w:color w:val="000000"/>
          <w:sz w:val="24"/>
          <w:szCs w:val="24"/>
          <w:lang w:eastAsia="es-CO"/>
        </w:rPr>
      </w:pPr>
      <w:r w:rsidRPr="00297110">
        <w:rPr>
          <w:rFonts w:ascii="Arial" w:hAnsi="Arial" w:cs="Arial"/>
          <w:noProof/>
          <w:sz w:val="24"/>
          <w:szCs w:val="24"/>
          <w:lang w:eastAsia="es-CO"/>
        </w:rPr>
        <w:drawing>
          <wp:inline distT="0" distB="0" distL="0" distR="0">
            <wp:extent cx="5612130" cy="946071"/>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946071"/>
                    </a:xfrm>
                    <a:prstGeom prst="rect">
                      <a:avLst/>
                    </a:prstGeom>
                    <a:noFill/>
                    <a:ln>
                      <a:noFill/>
                    </a:ln>
                  </pic:spPr>
                </pic:pic>
              </a:graphicData>
            </a:graphic>
          </wp:inline>
        </w:drawing>
      </w:r>
    </w:p>
    <w:p w:rsidR="009F1782" w:rsidRDefault="009F1782" w:rsidP="00FB3725">
      <w:pPr>
        <w:jc w:val="both"/>
        <w:rPr>
          <w:rFonts w:ascii="Arial" w:eastAsia="Times New Roman" w:hAnsi="Arial" w:cs="Arial"/>
          <w:color w:val="000000"/>
          <w:sz w:val="24"/>
          <w:szCs w:val="24"/>
          <w:lang w:eastAsia="es-CO"/>
        </w:rPr>
      </w:pPr>
      <w:r w:rsidRPr="00297110">
        <w:rPr>
          <w:rFonts w:ascii="Arial" w:eastAsia="Times New Roman" w:hAnsi="Arial" w:cs="Arial"/>
          <w:color w:val="000000"/>
          <w:sz w:val="24"/>
          <w:szCs w:val="24"/>
          <w:lang w:eastAsia="es-CO"/>
        </w:rPr>
        <w:t xml:space="preserve">Fuente: </w:t>
      </w:r>
      <w:proofErr w:type="gramStart"/>
      <w:r w:rsidRPr="00297110">
        <w:rPr>
          <w:rFonts w:ascii="Arial" w:eastAsia="Times New Roman" w:hAnsi="Arial" w:cs="Arial"/>
          <w:color w:val="000000"/>
          <w:sz w:val="24"/>
          <w:szCs w:val="24"/>
          <w:lang w:eastAsia="es-CO"/>
        </w:rPr>
        <w:t>DNP ,</w:t>
      </w:r>
      <w:proofErr w:type="gramEnd"/>
      <w:r w:rsidRPr="00297110">
        <w:rPr>
          <w:rFonts w:ascii="Arial" w:eastAsia="Times New Roman" w:hAnsi="Arial" w:cs="Arial"/>
          <w:color w:val="000000"/>
          <w:sz w:val="24"/>
          <w:szCs w:val="24"/>
          <w:lang w:eastAsia="es-CO"/>
        </w:rPr>
        <w:t xml:space="preserve"> anexo desempeño fiscal 2021 nueva metodología.</w:t>
      </w:r>
    </w:p>
    <w:p w:rsidR="0080487F" w:rsidRPr="00297110" w:rsidRDefault="0080487F" w:rsidP="00FB3725">
      <w:pPr>
        <w:jc w:val="both"/>
        <w:rPr>
          <w:rFonts w:ascii="Arial" w:eastAsia="Times New Roman" w:hAnsi="Arial" w:cs="Arial"/>
          <w:color w:val="000000"/>
          <w:sz w:val="24"/>
          <w:szCs w:val="24"/>
          <w:lang w:eastAsia="es-CO"/>
        </w:rPr>
      </w:pPr>
    </w:p>
    <w:p w:rsidR="00F949D0" w:rsidRPr="00297110" w:rsidRDefault="00CC44B2" w:rsidP="00903546">
      <w:pPr>
        <w:pStyle w:val="Prrafodelista"/>
        <w:numPr>
          <w:ilvl w:val="0"/>
          <w:numId w:val="4"/>
        </w:numPr>
        <w:jc w:val="both"/>
        <w:rPr>
          <w:rFonts w:ascii="Arial" w:hAnsi="Arial" w:cs="Arial"/>
          <w:sz w:val="24"/>
          <w:szCs w:val="24"/>
        </w:rPr>
      </w:pPr>
      <w:r w:rsidRPr="00297110">
        <w:rPr>
          <w:rFonts w:ascii="Arial" w:hAnsi="Arial" w:cs="Arial"/>
          <w:sz w:val="24"/>
          <w:szCs w:val="24"/>
        </w:rPr>
        <w:t>L</w:t>
      </w:r>
      <w:r w:rsidR="00903546" w:rsidRPr="00297110">
        <w:rPr>
          <w:rFonts w:ascii="Arial" w:hAnsi="Arial" w:cs="Arial"/>
          <w:sz w:val="24"/>
          <w:szCs w:val="24"/>
        </w:rPr>
        <w:t xml:space="preserve">a </w:t>
      </w:r>
      <w:r w:rsidR="00852AE3" w:rsidRPr="00297110">
        <w:rPr>
          <w:rFonts w:ascii="Arial" w:hAnsi="Arial" w:cs="Arial"/>
          <w:sz w:val="24"/>
          <w:szCs w:val="24"/>
        </w:rPr>
        <w:t xml:space="preserve">Constitución </w:t>
      </w:r>
      <w:proofErr w:type="spellStart"/>
      <w:r w:rsidR="00852AE3" w:rsidRPr="00297110">
        <w:rPr>
          <w:rFonts w:ascii="Arial" w:hAnsi="Arial" w:cs="Arial"/>
          <w:sz w:val="24"/>
          <w:szCs w:val="24"/>
        </w:rPr>
        <w:t>Politica</w:t>
      </w:r>
      <w:proofErr w:type="spellEnd"/>
      <w:r w:rsidR="00852AE3" w:rsidRPr="00297110">
        <w:rPr>
          <w:rFonts w:ascii="Arial" w:hAnsi="Arial" w:cs="Arial"/>
          <w:sz w:val="24"/>
          <w:szCs w:val="24"/>
        </w:rPr>
        <w:t xml:space="preserve"> de Colombia </w:t>
      </w:r>
      <w:r w:rsidR="00903546" w:rsidRPr="00297110">
        <w:rPr>
          <w:rFonts w:ascii="Arial" w:hAnsi="Arial" w:cs="Arial"/>
          <w:sz w:val="24"/>
          <w:szCs w:val="24"/>
        </w:rPr>
        <w:t xml:space="preserve">que determinó un régimen fiscal especial que relaciona al Distrito Capital con el departamento de Cundinamarca, y es así que en la actualidad Cundinamarca recauda cerca de un billón de pesos ($965.752 millones) de ingresos tributarios causados en el Distrito Capital, de los cuáles Bogotá participa en $415.000 millones de pesos. </w:t>
      </w:r>
    </w:p>
    <w:p w:rsidR="00F949D0" w:rsidRPr="00297110" w:rsidRDefault="00F949D0" w:rsidP="00F949D0">
      <w:pPr>
        <w:pStyle w:val="Prrafodelista"/>
        <w:ind w:left="360"/>
        <w:jc w:val="both"/>
        <w:rPr>
          <w:rFonts w:ascii="Arial" w:hAnsi="Arial" w:cs="Arial"/>
          <w:sz w:val="24"/>
          <w:szCs w:val="24"/>
        </w:rPr>
      </w:pPr>
    </w:p>
    <w:p w:rsidR="00903546" w:rsidRDefault="00903546" w:rsidP="00F949D0">
      <w:pPr>
        <w:pStyle w:val="Prrafodelista"/>
        <w:ind w:left="360"/>
        <w:jc w:val="both"/>
        <w:rPr>
          <w:rFonts w:ascii="Arial" w:hAnsi="Arial" w:cs="Arial"/>
          <w:sz w:val="24"/>
          <w:szCs w:val="24"/>
        </w:rPr>
      </w:pPr>
      <w:r w:rsidRPr="00297110">
        <w:rPr>
          <w:rFonts w:ascii="Arial" w:hAnsi="Arial" w:cs="Arial"/>
          <w:sz w:val="24"/>
          <w:szCs w:val="24"/>
        </w:rPr>
        <w:t xml:space="preserve">El hecho que Bogotá sea la Capital de Cundinamarca, comporta un relacionamiento fiscal que se puede quebrantar si otro municipio asumiera esté rol, ya que no es comparable la base económica de Soacha, o de cualquier otro con la que comporta Bogotá para la generación de tributos en favor del </w:t>
      </w:r>
      <w:r w:rsidRPr="00297110">
        <w:rPr>
          <w:rFonts w:ascii="Arial" w:hAnsi="Arial" w:cs="Arial"/>
          <w:sz w:val="24"/>
          <w:szCs w:val="24"/>
        </w:rPr>
        <w:lastRenderedPageBreak/>
        <w:t xml:space="preserve">Departamento, con ello se afectarían los 116 municipios, en especial aquellos de categorías 4, 5, y 6 que en total </w:t>
      </w:r>
      <w:r w:rsidR="00852AE3" w:rsidRPr="00297110">
        <w:rPr>
          <w:rFonts w:ascii="Arial" w:hAnsi="Arial" w:cs="Arial"/>
          <w:sz w:val="24"/>
          <w:szCs w:val="24"/>
        </w:rPr>
        <w:t xml:space="preserve">representan </w:t>
      </w:r>
      <w:r w:rsidRPr="00297110">
        <w:rPr>
          <w:rFonts w:ascii="Arial" w:hAnsi="Arial" w:cs="Arial"/>
          <w:sz w:val="24"/>
          <w:szCs w:val="24"/>
        </w:rPr>
        <w:t xml:space="preserve">102 </w:t>
      </w:r>
      <w:r w:rsidR="00852AE3" w:rsidRPr="00297110">
        <w:rPr>
          <w:rFonts w:ascii="Arial" w:hAnsi="Arial" w:cs="Arial"/>
          <w:sz w:val="24"/>
          <w:szCs w:val="24"/>
        </w:rPr>
        <w:t xml:space="preserve">en el departamento </w:t>
      </w:r>
      <w:r w:rsidRPr="00297110">
        <w:rPr>
          <w:rFonts w:ascii="Arial" w:hAnsi="Arial" w:cs="Arial"/>
          <w:sz w:val="24"/>
          <w:szCs w:val="24"/>
        </w:rPr>
        <w:t xml:space="preserve">y que son los de mayores necesidades socioeconómicas y donde se destinan en una proporción superior el presupuesto del Departamento, el cual se alimenta de las rentas ya mencionadas. </w:t>
      </w:r>
      <w:r w:rsidR="00852AE3" w:rsidRPr="00297110">
        <w:rPr>
          <w:rFonts w:ascii="Arial" w:hAnsi="Arial" w:cs="Arial"/>
          <w:sz w:val="24"/>
          <w:szCs w:val="24"/>
        </w:rPr>
        <w:t xml:space="preserve"> Lo cual podría </w:t>
      </w:r>
      <w:r w:rsidR="0080487F">
        <w:rPr>
          <w:rFonts w:ascii="Arial" w:hAnsi="Arial" w:cs="Arial"/>
          <w:sz w:val="24"/>
          <w:szCs w:val="24"/>
        </w:rPr>
        <w:t>generar riesgos fiscales</w:t>
      </w:r>
      <w:r w:rsidRPr="00297110">
        <w:rPr>
          <w:rFonts w:ascii="Arial" w:hAnsi="Arial" w:cs="Arial"/>
          <w:sz w:val="24"/>
          <w:szCs w:val="24"/>
        </w:rPr>
        <w:t xml:space="preserve"> </w:t>
      </w:r>
      <w:r w:rsidR="00852AE3" w:rsidRPr="00297110">
        <w:rPr>
          <w:rFonts w:ascii="Arial" w:hAnsi="Arial" w:cs="Arial"/>
          <w:sz w:val="24"/>
          <w:szCs w:val="24"/>
        </w:rPr>
        <w:t xml:space="preserve">y un </w:t>
      </w:r>
      <w:r w:rsidRPr="00297110">
        <w:rPr>
          <w:rFonts w:ascii="Arial" w:hAnsi="Arial" w:cs="Arial"/>
          <w:sz w:val="24"/>
          <w:szCs w:val="24"/>
        </w:rPr>
        <w:t xml:space="preserve"> sensible impacto del presupuesto del Departamento </w:t>
      </w:r>
      <w:r w:rsidR="0080487F">
        <w:rPr>
          <w:rFonts w:ascii="Arial" w:hAnsi="Arial" w:cs="Arial"/>
          <w:sz w:val="24"/>
          <w:szCs w:val="24"/>
        </w:rPr>
        <w:t xml:space="preserve">y </w:t>
      </w:r>
      <w:r w:rsidRPr="00297110">
        <w:rPr>
          <w:rFonts w:ascii="Arial" w:hAnsi="Arial" w:cs="Arial"/>
          <w:sz w:val="24"/>
          <w:szCs w:val="24"/>
        </w:rPr>
        <w:t>por ende el de sus municipios.</w:t>
      </w:r>
    </w:p>
    <w:p w:rsidR="003A5775" w:rsidRPr="00297110" w:rsidRDefault="003A5775" w:rsidP="00F949D0">
      <w:pPr>
        <w:pStyle w:val="Prrafodelista"/>
        <w:ind w:left="360"/>
        <w:jc w:val="both"/>
        <w:rPr>
          <w:rFonts w:ascii="Arial" w:hAnsi="Arial" w:cs="Arial"/>
          <w:sz w:val="24"/>
          <w:szCs w:val="24"/>
        </w:rPr>
      </w:pPr>
    </w:p>
    <w:p w:rsidR="007F286F" w:rsidRDefault="00852AE3" w:rsidP="00F949D0">
      <w:pPr>
        <w:rPr>
          <w:rFonts w:ascii="Arial" w:hAnsi="Arial" w:cs="Arial"/>
          <w:sz w:val="24"/>
          <w:szCs w:val="24"/>
        </w:rPr>
      </w:pPr>
      <w:r w:rsidRPr="00297110">
        <w:rPr>
          <w:rFonts w:ascii="Arial" w:hAnsi="Arial" w:cs="Arial"/>
          <w:sz w:val="24"/>
          <w:szCs w:val="24"/>
        </w:rPr>
        <w:t xml:space="preserve">Elementos que no son tenidos en cuenta ni mencionados por los autores de la </w:t>
      </w:r>
      <w:r w:rsidR="009F1782" w:rsidRPr="00297110">
        <w:rPr>
          <w:rFonts w:ascii="Arial" w:hAnsi="Arial" w:cs="Arial"/>
          <w:sz w:val="24"/>
          <w:szCs w:val="24"/>
        </w:rPr>
        <w:t>iniciativa</w:t>
      </w:r>
      <w:r w:rsidR="00F949D0" w:rsidRPr="00297110">
        <w:rPr>
          <w:rFonts w:ascii="Arial" w:hAnsi="Arial" w:cs="Arial"/>
          <w:sz w:val="24"/>
          <w:szCs w:val="24"/>
        </w:rPr>
        <w:t xml:space="preserve">. </w:t>
      </w:r>
    </w:p>
    <w:p w:rsidR="00D11208" w:rsidRDefault="00D11208" w:rsidP="00F949D0">
      <w:pPr>
        <w:rPr>
          <w:rFonts w:ascii="Arial" w:hAnsi="Arial" w:cs="Arial"/>
          <w:sz w:val="24"/>
          <w:szCs w:val="24"/>
        </w:rPr>
      </w:pPr>
      <w:r>
        <w:rPr>
          <w:rFonts w:ascii="Arial" w:hAnsi="Arial" w:cs="Arial"/>
          <w:sz w:val="24"/>
          <w:szCs w:val="24"/>
        </w:rPr>
        <w:t xml:space="preserve">Solo </w:t>
      </w:r>
      <w:r w:rsidR="003A5775">
        <w:rPr>
          <w:rFonts w:ascii="Arial" w:hAnsi="Arial" w:cs="Arial"/>
          <w:sz w:val="24"/>
          <w:szCs w:val="24"/>
        </w:rPr>
        <w:t xml:space="preserve">para ilustrar se presenta dos ejemplos con el impuesto de registro, consumo de licores y similares </w:t>
      </w:r>
    </w:p>
    <w:p w:rsidR="003A5775" w:rsidRPr="003A5775" w:rsidRDefault="003A5775" w:rsidP="003A5775">
      <w:pPr>
        <w:jc w:val="both"/>
        <w:rPr>
          <w:rFonts w:ascii="Arial" w:hAnsi="Arial" w:cs="Arial"/>
          <w:i/>
          <w:sz w:val="24"/>
        </w:rPr>
      </w:pPr>
      <w:r w:rsidRPr="003A5775">
        <w:rPr>
          <w:rFonts w:ascii="Arial" w:hAnsi="Arial" w:cs="Arial"/>
          <w:sz w:val="24"/>
        </w:rPr>
        <w:t xml:space="preserve">El departamento de Cundinamarca titular del impuesto de registro, de acuerdo a lo establecido en los artículos 234 y 235 de la Ley 223 de 1995, realiza el recaudo del impuesto causado  a  instancias  de las Oficinas de Registro de Instrumentos Públicos en la jurisdicción fiscal del impuesto, la cual incluye el Distrito Capital, para el 2021 el recaudo realizado corresponde a los valores referenciados a continuación. </w:t>
      </w:r>
    </w:p>
    <w:tbl>
      <w:tblPr>
        <w:tblStyle w:val="Tablaconcuadrcula"/>
        <w:tblW w:w="3306" w:type="dxa"/>
        <w:tblInd w:w="-5" w:type="dxa"/>
        <w:tblLook w:val="04A0" w:firstRow="1" w:lastRow="0" w:firstColumn="1" w:lastColumn="0" w:noHBand="0" w:noVBand="1"/>
      </w:tblPr>
      <w:tblGrid>
        <w:gridCol w:w="1901"/>
        <w:gridCol w:w="1405"/>
      </w:tblGrid>
      <w:tr w:rsidR="003A5775" w:rsidRPr="003B7AD5" w:rsidTr="009207CF">
        <w:tc>
          <w:tcPr>
            <w:tcW w:w="1901" w:type="dxa"/>
            <w:tcBorders>
              <w:top w:val="single" w:sz="4" w:space="0" w:color="auto"/>
              <w:bottom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CONCEPTO</w:t>
            </w:r>
          </w:p>
        </w:tc>
        <w:tc>
          <w:tcPr>
            <w:tcW w:w="1405" w:type="dxa"/>
            <w:tcBorders>
              <w:top w:val="single" w:sz="4" w:space="0" w:color="auto"/>
              <w:bottom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2021</w:t>
            </w:r>
          </w:p>
        </w:tc>
      </w:tr>
      <w:tr w:rsidR="003A5775" w:rsidRPr="003B7AD5" w:rsidTr="009207CF">
        <w:trPr>
          <w:trHeight w:hRule="exact" w:val="775"/>
        </w:trPr>
        <w:tc>
          <w:tcPr>
            <w:tcW w:w="1901" w:type="dxa"/>
            <w:tcBorders>
              <w:bottom w:val="single" w:sz="4" w:space="0" w:color="auto"/>
            </w:tcBorders>
            <w:vAlign w:val="center"/>
          </w:tcPr>
          <w:p w:rsidR="003A5775" w:rsidRPr="009161C4" w:rsidRDefault="003A5775" w:rsidP="009207CF">
            <w:pPr>
              <w:autoSpaceDE w:val="0"/>
              <w:jc w:val="center"/>
              <w:rPr>
                <w:color w:val="000000"/>
                <w:szCs w:val="22"/>
              </w:rPr>
            </w:pPr>
            <w:r w:rsidRPr="009161C4">
              <w:rPr>
                <w:color w:val="000000"/>
                <w:szCs w:val="22"/>
              </w:rPr>
              <w:t>Recaudo</w:t>
            </w:r>
          </w:p>
          <w:p w:rsidR="003A5775" w:rsidRPr="00E722C5" w:rsidRDefault="003A5775" w:rsidP="009207CF">
            <w:pPr>
              <w:autoSpaceDE w:val="0"/>
              <w:jc w:val="center"/>
              <w:rPr>
                <w:sz w:val="22"/>
                <w:szCs w:val="22"/>
              </w:rPr>
            </w:pPr>
            <w:r w:rsidRPr="009161C4">
              <w:rPr>
                <w:color w:val="000000"/>
                <w:szCs w:val="22"/>
              </w:rPr>
              <w:t>Impuesto de Registro - ORIP</w:t>
            </w:r>
            <w:r w:rsidRPr="00E722C5">
              <w:rPr>
                <w:rStyle w:val="Refdenotaalpie"/>
                <w:color w:val="000000"/>
                <w:sz w:val="22"/>
                <w:szCs w:val="22"/>
              </w:rPr>
              <w:footnoteReference w:id="1"/>
            </w:r>
            <w:r w:rsidRPr="00E722C5">
              <w:rPr>
                <w:sz w:val="22"/>
                <w:szCs w:val="22"/>
              </w:rPr>
              <w:t xml:space="preserve"> </w:t>
            </w:r>
          </w:p>
          <w:p w:rsidR="003A5775" w:rsidRPr="007D1DF3" w:rsidRDefault="003A5775" w:rsidP="009207CF">
            <w:pPr>
              <w:autoSpaceDE w:val="0"/>
              <w:ind w:left="-113" w:right="-138"/>
              <w:rPr>
                <w:color w:val="000000"/>
                <w:sz w:val="22"/>
                <w:szCs w:val="22"/>
              </w:rPr>
            </w:pPr>
          </w:p>
        </w:tc>
        <w:tc>
          <w:tcPr>
            <w:tcW w:w="1405" w:type="dxa"/>
            <w:tcBorders>
              <w:bottom w:val="single" w:sz="4" w:space="0" w:color="auto"/>
            </w:tcBorders>
            <w:vAlign w:val="center"/>
          </w:tcPr>
          <w:p w:rsidR="003A5775" w:rsidRPr="007D1DF3" w:rsidRDefault="003A5775" w:rsidP="009207CF">
            <w:pPr>
              <w:autoSpaceDE w:val="0"/>
              <w:jc w:val="center"/>
              <w:rPr>
                <w:color w:val="000000"/>
                <w:sz w:val="22"/>
                <w:szCs w:val="22"/>
              </w:rPr>
            </w:pPr>
            <w:r>
              <w:rPr>
                <w:color w:val="000000"/>
                <w:sz w:val="22"/>
                <w:szCs w:val="22"/>
              </w:rPr>
              <w:t>564.547</w:t>
            </w:r>
          </w:p>
        </w:tc>
      </w:tr>
    </w:tbl>
    <w:p w:rsidR="003A5775" w:rsidRDefault="003A5775" w:rsidP="003A5775">
      <w:pPr>
        <w:jc w:val="both"/>
        <w:rPr>
          <w:szCs w:val="24"/>
        </w:rPr>
      </w:pPr>
    </w:p>
    <w:p w:rsidR="003A5775" w:rsidRPr="003A5775" w:rsidRDefault="003A5775" w:rsidP="003A5775">
      <w:pPr>
        <w:jc w:val="both"/>
        <w:rPr>
          <w:rFonts w:ascii="Arial" w:hAnsi="Arial" w:cs="Arial"/>
          <w:sz w:val="24"/>
          <w:szCs w:val="24"/>
        </w:rPr>
      </w:pPr>
      <w:r w:rsidRPr="003A5775">
        <w:rPr>
          <w:rFonts w:ascii="Arial" w:hAnsi="Arial" w:cs="Arial"/>
          <w:sz w:val="24"/>
          <w:szCs w:val="24"/>
        </w:rPr>
        <w:t xml:space="preserve">En cuanto a la jurisdicción fiscal del impuesto de registro, causado  a  instancias  de las Oficinas de Registro de Instrumentos Públicos en </w:t>
      </w:r>
      <w:r>
        <w:rPr>
          <w:rFonts w:ascii="Arial" w:hAnsi="Arial" w:cs="Arial"/>
          <w:sz w:val="24"/>
          <w:szCs w:val="24"/>
        </w:rPr>
        <w:t xml:space="preserve">el Distrito Capital, </w:t>
      </w:r>
      <w:r w:rsidRPr="003A5775">
        <w:rPr>
          <w:rFonts w:ascii="Arial" w:hAnsi="Arial" w:cs="Arial"/>
          <w:sz w:val="24"/>
          <w:szCs w:val="24"/>
        </w:rPr>
        <w:t xml:space="preserve">de conformidad con lo señalado en el artículo 234 de la Ley 223 de 1995, el Distrito tiene una participación del 30% del recaudo que se cause en su jurisdicción, el Departamento de manera permanente diferencia los valores de causación y trasfiere al Distrito los valores correspondientes a la participación señalada. </w:t>
      </w:r>
    </w:p>
    <w:p w:rsidR="003A5775" w:rsidRDefault="003A5775" w:rsidP="003A5775">
      <w:pPr>
        <w:jc w:val="both"/>
        <w:rPr>
          <w:rFonts w:ascii="Arial" w:hAnsi="Arial" w:cs="Arial"/>
          <w:sz w:val="24"/>
          <w:szCs w:val="24"/>
        </w:rPr>
      </w:pPr>
      <w:r w:rsidRPr="003A5775">
        <w:rPr>
          <w:rFonts w:ascii="Arial" w:hAnsi="Arial" w:cs="Arial"/>
          <w:sz w:val="24"/>
          <w:szCs w:val="24"/>
        </w:rPr>
        <w:t>Para el año 2021 el recaudo realizado en jurisdicción del Distrito corresponde a los valores referenciados a continuación.</w:t>
      </w:r>
    </w:p>
    <w:p w:rsidR="003A5775" w:rsidRPr="003A5775" w:rsidRDefault="003A5775" w:rsidP="003A5775">
      <w:pPr>
        <w:jc w:val="both"/>
        <w:rPr>
          <w:rFonts w:ascii="Arial" w:hAnsi="Arial" w:cs="Arial"/>
          <w:sz w:val="18"/>
          <w:szCs w:val="24"/>
        </w:rPr>
      </w:pPr>
    </w:p>
    <w:tbl>
      <w:tblPr>
        <w:tblStyle w:val="Tablaconcuadrcula"/>
        <w:tblW w:w="33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1405"/>
      </w:tblGrid>
      <w:tr w:rsidR="003A5775" w:rsidRPr="003B7AD5" w:rsidTr="009207CF">
        <w:tc>
          <w:tcPr>
            <w:tcW w:w="1901" w:type="dxa"/>
            <w:tcBorders>
              <w:top w:val="single" w:sz="4" w:space="0" w:color="auto"/>
              <w:left w:val="single" w:sz="4" w:space="0" w:color="auto"/>
              <w:bottom w:val="single" w:sz="4" w:space="0" w:color="auto"/>
              <w:right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CONCEPTO</w:t>
            </w:r>
          </w:p>
        </w:tc>
        <w:tc>
          <w:tcPr>
            <w:tcW w:w="1405" w:type="dxa"/>
            <w:tcBorders>
              <w:top w:val="single" w:sz="4" w:space="0" w:color="auto"/>
              <w:left w:val="single" w:sz="4" w:space="0" w:color="auto"/>
              <w:bottom w:val="single" w:sz="4" w:space="0" w:color="auto"/>
              <w:right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2021</w:t>
            </w:r>
          </w:p>
        </w:tc>
      </w:tr>
      <w:tr w:rsidR="003A5775" w:rsidRPr="003B7AD5" w:rsidTr="009207CF">
        <w:tc>
          <w:tcPr>
            <w:tcW w:w="1901" w:type="dxa"/>
            <w:tcBorders>
              <w:top w:val="single" w:sz="4" w:space="0" w:color="auto"/>
              <w:left w:val="single" w:sz="4" w:space="0" w:color="auto"/>
              <w:bottom w:val="single" w:sz="4" w:space="0" w:color="auto"/>
              <w:right w:val="single" w:sz="4" w:space="0" w:color="auto"/>
            </w:tcBorders>
            <w:vAlign w:val="center"/>
          </w:tcPr>
          <w:p w:rsidR="003A5775" w:rsidRDefault="003A5775" w:rsidP="009207CF">
            <w:pPr>
              <w:autoSpaceDE w:val="0"/>
              <w:jc w:val="center"/>
              <w:rPr>
                <w:szCs w:val="22"/>
              </w:rPr>
            </w:pPr>
            <w:r w:rsidRPr="009161C4">
              <w:rPr>
                <w:color w:val="000000"/>
                <w:szCs w:val="22"/>
              </w:rPr>
              <w:t>Recaudo Impuesto de Registro – ORIP</w:t>
            </w:r>
            <w:r w:rsidRPr="009161C4">
              <w:rPr>
                <w:szCs w:val="22"/>
              </w:rPr>
              <w:t xml:space="preserve"> </w:t>
            </w:r>
          </w:p>
          <w:p w:rsidR="003A5775" w:rsidRPr="00760180" w:rsidRDefault="003A5775" w:rsidP="009207CF">
            <w:pPr>
              <w:autoSpaceDE w:val="0"/>
              <w:jc w:val="center"/>
              <w:rPr>
                <w:sz w:val="22"/>
                <w:szCs w:val="22"/>
              </w:rPr>
            </w:pPr>
            <w:r w:rsidRPr="009161C4">
              <w:rPr>
                <w:szCs w:val="22"/>
              </w:rPr>
              <w:t xml:space="preserve">Distrito Capital </w:t>
            </w:r>
          </w:p>
        </w:tc>
        <w:tc>
          <w:tcPr>
            <w:tcW w:w="1405" w:type="dxa"/>
            <w:tcBorders>
              <w:top w:val="single" w:sz="4" w:space="0" w:color="auto"/>
              <w:left w:val="single" w:sz="4" w:space="0" w:color="auto"/>
              <w:bottom w:val="single" w:sz="4" w:space="0" w:color="auto"/>
              <w:right w:val="single" w:sz="4" w:space="0" w:color="auto"/>
            </w:tcBorders>
            <w:vAlign w:val="center"/>
          </w:tcPr>
          <w:p w:rsidR="003A5775" w:rsidRPr="007D1DF3" w:rsidRDefault="003A5775" w:rsidP="009207CF">
            <w:pPr>
              <w:autoSpaceDE w:val="0"/>
              <w:jc w:val="center"/>
              <w:rPr>
                <w:color w:val="000000"/>
                <w:sz w:val="22"/>
                <w:szCs w:val="22"/>
              </w:rPr>
            </w:pPr>
            <w:r>
              <w:rPr>
                <w:color w:val="000000"/>
                <w:sz w:val="22"/>
                <w:szCs w:val="22"/>
              </w:rPr>
              <w:t>405.584</w:t>
            </w:r>
          </w:p>
        </w:tc>
      </w:tr>
    </w:tbl>
    <w:p w:rsidR="003A5775" w:rsidRDefault="003A5775" w:rsidP="003A5775">
      <w:pPr>
        <w:pStyle w:val="Prrafodelista"/>
        <w:ind w:left="0"/>
        <w:jc w:val="both"/>
        <w:rPr>
          <w:rFonts w:ascii="Arial" w:hAnsi="Arial" w:cs="Arial"/>
          <w:sz w:val="24"/>
          <w:szCs w:val="24"/>
        </w:rPr>
      </w:pPr>
      <w:r w:rsidRPr="003A5775">
        <w:rPr>
          <w:rFonts w:ascii="Arial" w:hAnsi="Arial" w:cs="Arial"/>
          <w:sz w:val="24"/>
          <w:szCs w:val="24"/>
        </w:rPr>
        <w:lastRenderedPageBreak/>
        <w:t>Es necesario aclarar que el impuesto de registro corresponde a lo que antes de la vigencia de la Ley 223 de 1995 se conocía como impuesto de registro y beneficencia, impuesto que tenía destinaciones específicas al financiamiento de servicios de salud y actividades de beneficencia, a partir de la vigencia de la norma antes citada, el impuesto de registro y beneficencia se modificó y se definió impuesto de registro,  renta endógena cuya titularidad está en cabeza de los Departamentos con libre destinación. Lo anterior de conformidad con lo señalado en el Capítulo XII de la mencionada Ley.</w:t>
      </w:r>
    </w:p>
    <w:p w:rsidR="003A5775" w:rsidRPr="003A5775" w:rsidRDefault="003A5775" w:rsidP="003A5775">
      <w:pPr>
        <w:pStyle w:val="Prrafodelista"/>
        <w:ind w:left="0"/>
        <w:jc w:val="both"/>
        <w:rPr>
          <w:rFonts w:ascii="Arial" w:hAnsi="Arial" w:cs="Arial"/>
          <w:sz w:val="24"/>
          <w:szCs w:val="24"/>
        </w:rPr>
      </w:pPr>
    </w:p>
    <w:p w:rsidR="003A5775" w:rsidRPr="003A5775" w:rsidRDefault="003A5775" w:rsidP="003A5775">
      <w:pPr>
        <w:pStyle w:val="Prrafodelista"/>
        <w:ind w:left="0"/>
        <w:jc w:val="both"/>
        <w:rPr>
          <w:rFonts w:ascii="Arial" w:hAnsi="Arial" w:cs="Arial"/>
          <w:b/>
          <w:sz w:val="24"/>
          <w:szCs w:val="24"/>
        </w:rPr>
      </w:pPr>
      <w:r w:rsidRPr="003A5775">
        <w:rPr>
          <w:rFonts w:ascii="Arial" w:hAnsi="Arial" w:cs="Arial"/>
          <w:b/>
          <w:sz w:val="24"/>
          <w:szCs w:val="24"/>
        </w:rPr>
        <w:t>IMPUESTO AL CONSUMO DE LICORES, VINOS, APERITIVOS Y SIMILARES</w:t>
      </w:r>
    </w:p>
    <w:p w:rsidR="003A5775" w:rsidRPr="003A5775" w:rsidRDefault="003A5775" w:rsidP="003A5775">
      <w:pPr>
        <w:pStyle w:val="Prrafodelista"/>
        <w:ind w:left="0"/>
        <w:jc w:val="both"/>
        <w:rPr>
          <w:rFonts w:ascii="Arial" w:hAnsi="Arial" w:cs="Arial"/>
          <w:sz w:val="24"/>
          <w:szCs w:val="24"/>
        </w:rPr>
      </w:pPr>
    </w:p>
    <w:p w:rsidR="003A5775" w:rsidRPr="003A5775" w:rsidRDefault="003A5775" w:rsidP="003A5775">
      <w:pPr>
        <w:pStyle w:val="Prrafodelista"/>
        <w:ind w:left="0"/>
        <w:jc w:val="both"/>
        <w:rPr>
          <w:rFonts w:ascii="Arial" w:hAnsi="Arial" w:cs="Arial"/>
          <w:sz w:val="24"/>
          <w:szCs w:val="24"/>
        </w:rPr>
      </w:pPr>
      <w:r w:rsidRPr="003A5775">
        <w:rPr>
          <w:rFonts w:ascii="Arial" w:hAnsi="Arial" w:cs="Arial"/>
          <w:sz w:val="24"/>
          <w:szCs w:val="24"/>
        </w:rPr>
        <w:t>De conformidad con lo señalado en el Numeral 4 del Artículo 16 de la Ley 1816 de 2016, el Departamento tiene la titularidad de recaudo del  impuesto causado en Cundinamarca y en  la jurisdicción del Distrito Capital, para el año 202</w:t>
      </w:r>
      <w:r>
        <w:rPr>
          <w:rFonts w:ascii="Arial" w:hAnsi="Arial" w:cs="Arial"/>
          <w:sz w:val="24"/>
          <w:szCs w:val="24"/>
        </w:rPr>
        <w:t>1</w:t>
      </w:r>
      <w:r w:rsidRPr="003A5775">
        <w:rPr>
          <w:rFonts w:ascii="Arial" w:hAnsi="Arial" w:cs="Arial"/>
          <w:sz w:val="24"/>
          <w:szCs w:val="24"/>
        </w:rPr>
        <w:t xml:space="preserve"> el recaudo realizado corresponde a los valores referenciados a continuación. </w:t>
      </w:r>
    </w:p>
    <w:p w:rsidR="003A5775" w:rsidRDefault="003A5775" w:rsidP="003A5775">
      <w:pPr>
        <w:pStyle w:val="Prrafodelista"/>
        <w:jc w:val="right"/>
        <w:rPr>
          <w:sz w:val="24"/>
          <w:szCs w:val="24"/>
        </w:rPr>
      </w:pPr>
    </w:p>
    <w:tbl>
      <w:tblPr>
        <w:tblStyle w:val="Tablaconcuadrcula"/>
        <w:tblW w:w="4395" w:type="dxa"/>
        <w:tblInd w:w="-5" w:type="dxa"/>
        <w:tblLook w:val="04A0" w:firstRow="1" w:lastRow="0" w:firstColumn="1" w:lastColumn="0" w:noHBand="0" w:noVBand="1"/>
      </w:tblPr>
      <w:tblGrid>
        <w:gridCol w:w="2977"/>
        <w:gridCol w:w="1418"/>
      </w:tblGrid>
      <w:tr w:rsidR="003A5775" w:rsidRPr="003B7AD5" w:rsidTr="009933D4">
        <w:tc>
          <w:tcPr>
            <w:tcW w:w="2977" w:type="dxa"/>
            <w:tcBorders>
              <w:top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CONCEPTO</w:t>
            </w:r>
          </w:p>
        </w:tc>
        <w:tc>
          <w:tcPr>
            <w:tcW w:w="1418" w:type="dxa"/>
            <w:tcBorders>
              <w:top w:val="single" w:sz="4" w:space="0" w:color="auto"/>
            </w:tcBorders>
            <w:vAlign w:val="center"/>
          </w:tcPr>
          <w:p w:rsidR="003A5775" w:rsidRPr="007D1DF3" w:rsidRDefault="003A5775" w:rsidP="009207CF">
            <w:pPr>
              <w:autoSpaceDE w:val="0"/>
              <w:jc w:val="center"/>
              <w:rPr>
                <w:b/>
                <w:color w:val="000000"/>
                <w:sz w:val="22"/>
                <w:szCs w:val="22"/>
              </w:rPr>
            </w:pPr>
            <w:r w:rsidRPr="007D1DF3">
              <w:rPr>
                <w:b/>
                <w:color w:val="000000"/>
                <w:sz w:val="22"/>
                <w:szCs w:val="22"/>
              </w:rPr>
              <w:t>2021</w:t>
            </w:r>
          </w:p>
        </w:tc>
      </w:tr>
      <w:tr w:rsidR="003A5775" w:rsidRPr="003B7AD5" w:rsidTr="009933D4">
        <w:tc>
          <w:tcPr>
            <w:tcW w:w="2977" w:type="dxa"/>
            <w:tcBorders>
              <w:bottom w:val="single" w:sz="4" w:space="0" w:color="auto"/>
            </w:tcBorders>
            <w:vAlign w:val="center"/>
          </w:tcPr>
          <w:p w:rsidR="003A5775" w:rsidRPr="007D1DF3" w:rsidRDefault="003A5775" w:rsidP="009207CF">
            <w:pPr>
              <w:autoSpaceDE w:val="0"/>
              <w:jc w:val="center"/>
              <w:rPr>
                <w:color w:val="000000"/>
                <w:sz w:val="22"/>
                <w:szCs w:val="22"/>
              </w:rPr>
            </w:pPr>
            <w:r>
              <w:rPr>
                <w:color w:val="000000"/>
                <w:szCs w:val="22"/>
              </w:rPr>
              <w:t xml:space="preserve">Recaudo Impuesto al </w:t>
            </w:r>
            <w:r w:rsidRPr="009161C4">
              <w:rPr>
                <w:color w:val="000000"/>
                <w:szCs w:val="22"/>
              </w:rPr>
              <w:t>Consumo de Licores, vinos, Aperitivos y Similares</w:t>
            </w:r>
          </w:p>
        </w:tc>
        <w:tc>
          <w:tcPr>
            <w:tcW w:w="1418" w:type="dxa"/>
            <w:tcBorders>
              <w:bottom w:val="single" w:sz="4" w:space="0" w:color="auto"/>
            </w:tcBorders>
            <w:vAlign w:val="center"/>
          </w:tcPr>
          <w:p w:rsidR="003A5775" w:rsidRPr="007D1DF3" w:rsidRDefault="003A5775" w:rsidP="009207CF">
            <w:pPr>
              <w:autoSpaceDE w:val="0"/>
              <w:jc w:val="center"/>
              <w:rPr>
                <w:color w:val="000000"/>
                <w:sz w:val="22"/>
                <w:szCs w:val="22"/>
              </w:rPr>
            </w:pPr>
            <w:r>
              <w:rPr>
                <w:color w:val="000000"/>
                <w:sz w:val="22"/>
                <w:szCs w:val="22"/>
              </w:rPr>
              <w:t>481.674</w:t>
            </w:r>
          </w:p>
        </w:tc>
      </w:tr>
    </w:tbl>
    <w:p w:rsidR="00D11208" w:rsidRPr="00297110" w:rsidRDefault="00D11208" w:rsidP="00F949D0">
      <w:pPr>
        <w:rPr>
          <w:rFonts w:ascii="Arial" w:hAnsi="Arial" w:cs="Arial"/>
          <w:sz w:val="24"/>
          <w:szCs w:val="24"/>
        </w:rPr>
      </w:pPr>
    </w:p>
    <w:p w:rsidR="00F949D0" w:rsidRPr="00297110" w:rsidRDefault="00F949D0" w:rsidP="00F949D0">
      <w:pPr>
        <w:pStyle w:val="Prrafodelista"/>
        <w:numPr>
          <w:ilvl w:val="0"/>
          <w:numId w:val="4"/>
        </w:numPr>
        <w:jc w:val="both"/>
        <w:rPr>
          <w:rFonts w:ascii="Arial" w:hAnsi="Arial" w:cs="Arial"/>
          <w:sz w:val="24"/>
          <w:szCs w:val="24"/>
        </w:rPr>
      </w:pPr>
      <w:r w:rsidRPr="00297110">
        <w:rPr>
          <w:rFonts w:ascii="Arial" w:hAnsi="Arial" w:cs="Arial"/>
          <w:sz w:val="24"/>
          <w:szCs w:val="24"/>
        </w:rPr>
        <w:t xml:space="preserve">El Municipio de Soacha podría verse afectado en la medida que los recursos referidos (Impuesto de registro, </w:t>
      </w:r>
      <w:proofErr w:type="spellStart"/>
      <w:r w:rsidRPr="00297110">
        <w:rPr>
          <w:rFonts w:ascii="Arial" w:hAnsi="Arial" w:cs="Arial"/>
          <w:sz w:val="24"/>
          <w:szCs w:val="24"/>
        </w:rPr>
        <w:t>Ipoconsumo</w:t>
      </w:r>
      <w:proofErr w:type="spellEnd"/>
      <w:r w:rsidRPr="00297110">
        <w:rPr>
          <w:rFonts w:ascii="Arial" w:hAnsi="Arial" w:cs="Arial"/>
          <w:sz w:val="24"/>
          <w:szCs w:val="24"/>
        </w:rPr>
        <w:t xml:space="preserve">) hoy cofinancian en una proporción importante las Fases 2 y 3 de Transmilenio (a través de vigencias futuras y recursos del crédito, apalancados en las citadas rentas), con una inversión adicional realizada desde el departamento en tanto las estimaciones iniciales resultaron insuficientes para la culminación de tales obras, a lo que debemos sumar el considerable aporte del Departamento al Plan Departamental de Aguas (PDA) que ha permitido la finalización de importantes obras en tal jurisdicción y, junto con aportes a proyectos de infraestructura hospitalaria como la actual renovación del Hospital Mario Gaitán Yanguas en las que el Departamento aportó una considerable suma de dinero, entre otros proyectos. </w:t>
      </w:r>
    </w:p>
    <w:p w:rsidR="00F949D0" w:rsidRPr="00297110" w:rsidRDefault="00F949D0" w:rsidP="00F949D0">
      <w:pPr>
        <w:pStyle w:val="Prrafodelista"/>
        <w:ind w:left="360"/>
        <w:jc w:val="both"/>
        <w:rPr>
          <w:rFonts w:ascii="Arial" w:hAnsi="Arial" w:cs="Arial"/>
          <w:sz w:val="24"/>
          <w:szCs w:val="24"/>
        </w:rPr>
      </w:pPr>
    </w:p>
    <w:p w:rsidR="00F949D0" w:rsidRPr="00297110" w:rsidRDefault="00F949D0" w:rsidP="00F949D0">
      <w:pPr>
        <w:pStyle w:val="Prrafodelista"/>
        <w:ind w:left="360"/>
        <w:jc w:val="both"/>
        <w:rPr>
          <w:rFonts w:ascii="Arial" w:hAnsi="Arial" w:cs="Arial"/>
          <w:sz w:val="24"/>
          <w:szCs w:val="24"/>
        </w:rPr>
      </w:pPr>
      <w:r w:rsidRPr="00297110">
        <w:rPr>
          <w:rFonts w:ascii="Arial" w:hAnsi="Arial" w:cs="Arial"/>
          <w:sz w:val="24"/>
          <w:szCs w:val="24"/>
        </w:rPr>
        <w:t xml:space="preserve">Las obras que cofinancia el Departamento en la jurisdicción de Soacha no podrían ser materializadas en el evento de que se produzca un impacto fiscal de proporciones tan grandes como las que podría generar el actual proyecto de acto legislativo, así pues, tal Acto, lejos de beneficiar a los habitantes del Municipio de Soacha, terminaría por perjudicarlos, todo esto producto de una medida que pondría en serio riesgo fiscal la financiación de obras que se piensan para el bienestar de los </w:t>
      </w:r>
      <w:proofErr w:type="spellStart"/>
      <w:r w:rsidRPr="00297110">
        <w:rPr>
          <w:rFonts w:ascii="Arial" w:hAnsi="Arial" w:cs="Arial"/>
          <w:sz w:val="24"/>
          <w:szCs w:val="24"/>
        </w:rPr>
        <w:t>Soachunos</w:t>
      </w:r>
      <w:proofErr w:type="spellEnd"/>
      <w:r w:rsidRPr="00297110">
        <w:rPr>
          <w:rFonts w:ascii="Arial" w:hAnsi="Arial" w:cs="Arial"/>
          <w:sz w:val="24"/>
          <w:szCs w:val="24"/>
        </w:rPr>
        <w:t xml:space="preserve">. </w:t>
      </w:r>
    </w:p>
    <w:p w:rsidR="00F949D0" w:rsidRPr="00297110" w:rsidRDefault="00F949D0" w:rsidP="00F949D0">
      <w:pPr>
        <w:pStyle w:val="Prrafodelista"/>
        <w:ind w:left="360"/>
        <w:jc w:val="both"/>
        <w:rPr>
          <w:rFonts w:ascii="Arial" w:hAnsi="Arial" w:cs="Arial"/>
          <w:sz w:val="24"/>
          <w:szCs w:val="24"/>
        </w:rPr>
      </w:pPr>
    </w:p>
    <w:p w:rsidR="00F949D0" w:rsidRPr="00297110" w:rsidRDefault="00F949D0" w:rsidP="00F949D0">
      <w:pPr>
        <w:pStyle w:val="Prrafodelista"/>
        <w:ind w:left="360"/>
        <w:jc w:val="both"/>
        <w:rPr>
          <w:rFonts w:ascii="Arial" w:hAnsi="Arial" w:cs="Arial"/>
          <w:sz w:val="24"/>
          <w:szCs w:val="24"/>
        </w:rPr>
      </w:pPr>
      <w:r w:rsidRPr="00297110">
        <w:rPr>
          <w:rFonts w:ascii="Arial" w:hAnsi="Arial" w:cs="Arial"/>
          <w:sz w:val="24"/>
          <w:szCs w:val="24"/>
        </w:rPr>
        <w:t xml:space="preserve">Valga en este aparte citar a Millar y </w:t>
      </w:r>
      <w:proofErr w:type="spellStart"/>
      <w:r w:rsidRPr="00297110">
        <w:rPr>
          <w:rFonts w:ascii="Arial" w:hAnsi="Arial" w:cs="Arial"/>
          <w:sz w:val="24"/>
          <w:szCs w:val="24"/>
        </w:rPr>
        <w:t>Meiners</w:t>
      </w:r>
      <w:proofErr w:type="spellEnd"/>
      <w:r w:rsidRPr="00297110">
        <w:rPr>
          <w:rFonts w:ascii="Arial" w:hAnsi="Arial" w:cs="Arial"/>
          <w:sz w:val="24"/>
          <w:szCs w:val="24"/>
        </w:rPr>
        <w:t xml:space="preserve"> (1989) quienes citando a </w:t>
      </w:r>
      <w:proofErr w:type="spellStart"/>
      <w:r w:rsidRPr="00297110">
        <w:rPr>
          <w:rFonts w:ascii="Arial" w:hAnsi="Arial" w:cs="Arial"/>
          <w:sz w:val="24"/>
          <w:szCs w:val="24"/>
        </w:rPr>
        <w:t>Paretto</w:t>
      </w:r>
      <w:proofErr w:type="spellEnd"/>
      <w:r w:rsidRPr="00297110">
        <w:rPr>
          <w:rFonts w:ascii="Arial" w:hAnsi="Arial" w:cs="Arial"/>
          <w:sz w:val="24"/>
          <w:szCs w:val="24"/>
        </w:rPr>
        <w:t xml:space="preserve"> (1938), definieron el óptimo </w:t>
      </w:r>
      <w:proofErr w:type="spellStart"/>
      <w:r w:rsidRPr="00297110">
        <w:rPr>
          <w:rFonts w:ascii="Arial" w:hAnsi="Arial" w:cs="Arial"/>
          <w:sz w:val="24"/>
          <w:szCs w:val="24"/>
        </w:rPr>
        <w:t>paretiano</w:t>
      </w:r>
      <w:proofErr w:type="spellEnd"/>
      <w:r w:rsidRPr="00297110">
        <w:rPr>
          <w:rFonts w:ascii="Arial" w:hAnsi="Arial" w:cs="Arial"/>
          <w:sz w:val="24"/>
          <w:szCs w:val="24"/>
        </w:rPr>
        <w:t xml:space="preserve"> como un estado en el </w:t>
      </w:r>
      <w:r w:rsidRPr="00297110">
        <w:rPr>
          <w:rFonts w:ascii="Arial" w:hAnsi="Arial" w:cs="Arial"/>
          <w:i/>
          <w:iCs/>
          <w:sz w:val="24"/>
          <w:szCs w:val="24"/>
        </w:rPr>
        <w:t xml:space="preserve">“que cualquier cambio de situación afectaría a una economía sin perjudicar a otra. Es decir, las situaciones son eficientes, si al haber un cambio de esa situación, se beneficia a alguno, sin perjudicar a otro”, </w:t>
      </w:r>
      <w:r w:rsidRPr="00297110">
        <w:rPr>
          <w:rFonts w:ascii="Arial" w:hAnsi="Arial" w:cs="Arial"/>
          <w:sz w:val="24"/>
          <w:szCs w:val="24"/>
        </w:rPr>
        <w:t xml:space="preserve">pues bien, en este caso nos encontramos ante una medida que, de tomarse, resultaría perjudicando claramente la situación de los cundinamarqueses, </w:t>
      </w:r>
      <w:proofErr w:type="spellStart"/>
      <w:r w:rsidRPr="00297110">
        <w:rPr>
          <w:rFonts w:ascii="Arial" w:hAnsi="Arial" w:cs="Arial"/>
          <w:sz w:val="24"/>
          <w:szCs w:val="24"/>
        </w:rPr>
        <w:t>soachunos</w:t>
      </w:r>
      <w:proofErr w:type="spellEnd"/>
      <w:r w:rsidRPr="00297110">
        <w:rPr>
          <w:rFonts w:ascii="Arial" w:hAnsi="Arial" w:cs="Arial"/>
          <w:sz w:val="24"/>
          <w:szCs w:val="24"/>
        </w:rPr>
        <w:t xml:space="preserve"> incluidos, al poner en riesgo las rentas más robustas con las que dispone el departamento de Cundinamarca para la atención de las necesidades de sus habitantes, sin que exista una clara fuente que los reemplace, así, en resumen, podemos afirmar que la acción que se pretende con este proyecto de Acto Legislativo es inconveniente </w:t>
      </w:r>
    </w:p>
    <w:p w:rsidR="00F949D0" w:rsidRPr="00297110" w:rsidRDefault="00F949D0" w:rsidP="00F949D0">
      <w:pPr>
        <w:pStyle w:val="Prrafodelista"/>
        <w:ind w:left="360"/>
        <w:jc w:val="both"/>
        <w:rPr>
          <w:rFonts w:ascii="Arial" w:hAnsi="Arial" w:cs="Arial"/>
          <w:sz w:val="24"/>
          <w:szCs w:val="24"/>
        </w:rPr>
      </w:pPr>
    </w:p>
    <w:p w:rsidR="00F949D0" w:rsidRPr="00297110" w:rsidRDefault="00F949D0" w:rsidP="00F949D0">
      <w:pPr>
        <w:pStyle w:val="Prrafodelista"/>
        <w:numPr>
          <w:ilvl w:val="0"/>
          <w:numId w:val="4"/>
        </w:numPr>
        <w:jc w:val="both"/>
        <w:rPr>
          <w:rFonts w:ascii="Arial" w:hAnsi="Arial" w:cs="Arial"/>
          <w:sz w:val="24"/>
          <w:szCs w:val="24"/>
        </w:rPr>
      </w:pPr>
      <w:r w:rsidRPr="00297110">
        <w:rPr>
          <w:rFonts w:ascii="Arial" w:hAnsi="Arial" w:cs="Arial"/>
          <w:sz w:val="24"/>
          <w:szCs w:val="24"/>
        </w:rPr>
        <w:t>El proyecto de Acto Legislativo, no encierra de forma clara los beneficios que obtendría el Municipio de Soacha ni sus habitantes de ser capital de departamento, pues al realizar un análisis de las disposiciones establecidas en la Ley 2082 de 2021 que creó la categoría especial para ciudades capitales, quizás, una de los eventuales beneficios sería la posibilidad de que Soacha adopte las normas que rigen a Bogotá en materia de predial e ICA, lo cual no presenta diferencias considerables que le pudieran generar un mayor recaudo, de otra parte, en el marco de la Ley 2082, a la fecha el Gobierno Nacional no ha entregado competencias a ciudades capitales a través de convenios con asignación de recursos, considerando que para que esto ocurra las ciudades capitales deben contar con la capacidad administrativa, operativa, fiscal y jurídica respectiva, en este orden de ideas concluimos que el proyecto de acto legislativo no le genera beneficios palpables al Municipio de Soacha en el marco de la Ley 2082, frente al riesgo fiscal en que se incurriría tras una eventual aprobación.</w:t>
      </w:r>
    </w:p>
    <w:p w:rsidR="002A5551" w:rsidRPr="00297110" w:rsidRDefault="002A5551" w:rsidP="002A5551">
      <w:pPr>
        <w:pStyle w:val="Prrafodelista"/>
        <w:ind w:left="360"/>
        <w:jc w:val="both"/>
        <w:rPr>
          <w:rFonts w:ascii="Arial" w:hAnsi="Arial" w:cs="Arial"/>
          <w:sz w:val="24"/>
          <w:szCs w:val="24"/>
        </w:rPr>
      </w:pPr>
    </w:p>
    <w:p w:rsidR="002A5551" w:rsidRPr="00297110" w:rsidRDefault="002A5551" w:rsidP="002A5551">
      <w:pPr>
        <w:pStyle w:val="Prrafodelista"/>
        <w:numPr>
          <w:ilvl w:val="2"/>
          <w:numId w:val="3"/>
        </w:numPr>
        <w:rPr>
          <w:rFonts w:ascii="Arial" w:hAnsi="Arial" w:cs="Arial"/>
          <w:b/>
          <w:sz w:val="24"/>
          <w:szCs w:val="24"/>
        </w:rPr>
      </w:pPr>
      <w:r w:rsidRPr="00297110">
        <w:rPr>
          <w:rFonts w:ascii="Arial" w:hAnsi="Arial" w:cs="Arial"/>
          <w:b/>
          <w:sz w:val="24"/>
          <w:szCs w:val="24"/>
        </w:rPr>
        <w:t xml:space="preserve">Impacto Fiscal </w:t>
      </w:r>
    </w:p>
    <w:p w:rsidR="00F607AD" w:rsidRDefault="00F607AD" w:rsidP="00F607AD">
      <w:pPr>
        <w:contextualSpacing/>
        <w:jc w:val="both"/>
        <w:rPr>
          <w:rFonts w:ascii="Arial" w:hAnsi="Arial" w:cs="Arial"/>
          <w:sz w:val="24"/>
          <w:szCs w:val="24"/>
        </w:rPr>
      </w:pPr>
      <w:r w:rsidRPr="00297110">
        <w:rPr>
          <w:rFonts w:ascii="Arial" w:hAnsi="Arial" w:cs="Arial"/>
          <w:sz w:val="24"/>
          <w:szCs w:val="24"/>
        </w:rPr>
        <w:t xml:space="preserve">En relación al impacto fiscal cabe señalar que la modificación pretendida implicaría alteraciones significativas sin que queden claras las capacidades tributarias de cada uno de los entes territoriales ni tampoco las eventuales fuentes que reemplazarían las dejadas de percibir derivadas de tal medida, además del riesgo de los proyectos que cuentan con vigencias futuras en el marco de un plan financiero que se encuentra proyectado a 10 años con los ingresos tributarios del departamento de Cundinamarca en los cuales participa Bogotá y que estarían financiando proyectos de gran impacto a mediano y largo plazo. </w:t>
      </w:r>
    </w:p>
    <w:p w:rsidR="00297110" w:rsidRPr="00297110" w:rsidRDefault="00297110" w:rsidP="00F607AD">
      <w:pPr>
        <w:contextualSpacing/>
        <w:jc w:val="both"/>
        <w:rPr>
          <w:rFonts w:ascii="Arial" w:hAnsi="Arial" w:cs="Arial"/>
          <w:sz w:val="24"/>
          <w:szCs w:val="24"/>
        </w:rPr>
      </w:pPr>
    </w:p>
    <w:p w:rsidR="007E39E9" w:rsidRPr="00297110" w:rsidRDefault="00F607AD" w:rsidP="007E39E9">
      <w:pPr>
        <w:jc w:val="both"/>
        <w:rPr>
          <w:rFonts w:ascii="Arial" w:hAnsi="Arial" w:cs="Arial"/>
          <w:sz w:val="24"/>
          <w:szCs w:val="24"/>
        </w:rPr>
      </w:pPr>
      <w:r w:rsidRPr="00297110">
        <w:rPr>
          <w:rFonts w:ascii="Arial" w:hAnsi="Arial" w:cs="Arial"/>
          <w:sz w:val="24"/>
          <w:szCs w:val="24"/>
        </w:rPr>
        <w:lastRenderedPageBreak/>
        <w:t xml:space="preserve">Si bien es cierto </w:t>
      </w:r>
      <w:r w:rsidR="0080487F">
        <w:rPr>
          <w:rFonts w:ascii="Arial" w:hAnsi="Arial" w:cs="Arial"/>
          <w:sz w:val="24"/>
          <w:szCs w:val="24"/>
        </w:rPr>
        <w:t>los autores</w:t>
      </w:r>
      <w:r w:rsidRPr="00297110">
        <w:rPr>
          <w:rFonts w:ascii="Arial" w:hAnsi="Arial" w:cs="Arial"/>
          <w:sz w:val="24"/>
          <w:szCs w:val="24"/>
        </w:rPr>
        <w:t xml:space="preserve"> al respecto menciona la sentencia C 625 de 2010, para atribuir la </w:t>
      </w:r>
      <w:r w:rsidR="007E39E9" w:rsidRPr="00297110">
        <w:rPr>
          <w:rFonts w:ascii="Arial" w:hAnsi="Arial" w:cs="Arial"/>
          <w:sz w:val="24"/>
          <w:szCs w:val="24"/>
        </w:rPr>
        <w:t>responsabilidad</w:t>
      </w:r>
      <w:r w:rsidRPr="00297110">
        <w:rPr>
          <w:rFonts w:ascii="Arial" w:hAnsi="Arial" w:cs="Arial"/>
          <w:sz w:val="24"/>
          <w:szCs w:val="24"/>
        </w:rPr>
        <w:t xml:space="preserve"> del impacto fiscal en el Ministerio de Hacienda y crédito </w:t>
      </w:r>
      <w:r w:rsidR="007E39E9" w:rsidRPr="00297110">
        <w:rPr>
          <w:rFonts w:ascii="Arial" w:hAnsi="Arial" w:cs="Arial"/>
          <w:sz w:val="24"/>
          <w:szCs w:val="24"/>
        </w:rPr>
        <w:t>público</w:t>
      </w:r>
      <w:r w:rsidRPr="00297110">
        <w:rPr>
          <w:rFonts w:ascii="Arial" w:hAnsi="Arial" w:cs="Arial"/>
          <w:sz w:val="24"/>
          <w:szCs w:val="24"/>
        </w:rPr>
        <w:t xml:space="preserve">, es pertinente precisar que  sobre la materia la Corte Constitucional </w:t>
      </w:r>
      <w:r w:rsidR="007E39E9" w:rsidRPr="00297110">
        <w:rPr>
          <w:rFonts w:ascii="Arial" w:hAnsi="Arial" w:cs="Arial"/>
          <w:sz w:val="24"/>
          <w:szCs w:val="24"/>
        </w:rPr>
        <w:t xml:space="preserve">no ha relevado de esta función al legislador de allí que el impacto fiscal debe ser tratado en la exposición motiva y durante el trámite legislativo, la Corte Constitucional </w:t>
      </w:r>
      <w:r w:rsidRPr="00297110">
        <w:rPr>
          <w:rFonts w:ascii="Arial" w:hAnsi="Arial" w:cs="Arial"/>
          <w:sz w:val="24"/>
          <w:szCs w:val="24"/>
        </w:rPr>
        <w:t>ha mencionado</w:t>
      </w:r>
      <w:r w:rsidR="007E39E9" w:rsidRPr="00297110">
        <w:rPr>
          <w:rFonts w:ascii="Arial" w:hAnsi="Arial" w:cs="Arial"/>
          <w:sz w:val="24"/>
          <w:szCs w:val="24"/>
        </w:rPr>
        <w:t xml:space="preserve"> en la sentencia 510 de 2019 </w:t>
      </w:r>
      <w:r w:rsidR="00297110">
        <w:rPr>
          <w:rFonts w:ascii="Arial" w:hAnsi="Arial" w:cs="Arial"/>
          <w:sz w:val="24"/>
          <w:szCs w:val="24"/>
        </w:rPr>
        <w:t>que</w:t>
      </w:r>
      <w:r w:rsidR="007E39E9" w:rsidRPr="00297110">
        <w:rPr>
          <w:rFonts w:ascii="Arial" w:hAnsi="Arial" w:cs="Arial"/>
          <w:sz w:val="24"/>
          <w:szCs w:val="24"/>
        </w:rPr>
        <w:t xml:space="preserve">: </w:t>
      </w:r>
    </w:p>
    <w:p w:rsidR="007E39E9" w:rsidRPr="00297110" w:rsidRDefault="00F607AD" w:rsidP="00297110">
      <w:pPr>
        <w:jc w:val="both"/>
        <w:rPr>
          <w:rFonts w:ascii="Arial" w:hAnsi="Arial" w:cs="Arial"/>
          <w:sz w:val="24"/>
          <w:szCs w:val="24"/>
        </w:rPr>
      </w:pPr>
      <w:r w:rsidRPr="00297110">
        <w:rPr>
          <w:rFonts w:ascii="Arial" w:hAnsi="Arial" w:cs="Arial"/>
          <w:sz w:val="24"/>
          <w:szCs w:val="24"/>
        </w:rPr>
        <w:t>Con el propósito de unificar la interpret</w:t>
      </w:r>
      <w:r w:rsidR="007E39E9" w:rsidRPr="00297110">
        <w:rPr>
          <w:rFonts w:ascii="Arial" w:hAnsi="Arial" w:cs="Arial"/>
          <w:sz w:val="24"/>
          <w:szCs w:val="24"/>
        </w:rPr>
        <w:t xml:space="preserve">ación en esta materia, la Corte </w:t>
      </w:r>
      <w:r w:rsidRPr="00297110">
        <w:rPr>
          <w:rFonts w:ascii="Arial" w:hAnsi="Arial" w:cs="Arial"/>
          <w:sz w:val="24"/>
          <w:szCs w:val="24"/>
        </w:rPr>
        <w:t xml:space="preserve">estima necesario precisar (i) que el Congreso tiene la responsabilidad -como lo dejó dicho la sentencia C-502 de 2007 y con fundamento en el artículo 7 de la ley 819 de 2003- de valorar las incidencias fiscales del proyecto de ley. Tal carga (ii) no exige un análisis detallado o exhaustivo del costo fiscal y las fuentes de financiamiento. Sin embargo, (iii) sí demanda una mínima consideración al respecto, de modo que sea posible establecer los referentes básicos para analizar los efectos fiscales del proyecto de ley. </w:t>
      </w:r>
    </w:p>
    <w:p w:rsidR="00F607AD" w:rsidRPr="00297110" w:rsidRDefault="00F607AD" w:rsidP="00297110">
      <w:pPr>
        <w:jc w:val="both"/>
        <w:rPr>
          <w:rFonts w:ascii="Arial" w:hAnsi="Arial" w:cs="Arial"/>
          <w:b/>
          <w:sz w:val="24"/>
          <w:szCs w:val="24"/>
        </w:rPr>
      </w:pPr>
      <w:r w:rsidRPr="00297110">
        <w:rPr>
          <w:rFonts w:ascii="Arial" w:hAnsi="Arial" w:cs="Arial"/>
          <w:sz w:val="24"/>
          <w:szCs w:val="24"/>
        </w:rPr>
        <w:t>En todo caso (iv) la carga principal se encuentra radicada en el MHCP por sus conocimientos técnicos y por su condición de principal ejecutor del gasto público. En consecuencia, (v) el incumplimiento del Gobierno no afecta la decisión del Congreso cuando este ha cumplido su deber. A su vez (vi) si el Gobierno atiende su obligación de emitir su concepto, se radica en el Congreso el deber de estudiarlo y discutirlo</w:t>
      </w:r>
    </w:p>
    <w:p w:rsidR="007E39E9" w:rsidRPr="00297110" w:rsidRDefault="007E39E9" w:rsidP="00297110">
      <w:pPr>
        <w:jc w:val="both"/>
        <w:rPr>
          <w:rFonts w:ascii="Arial" w:hAnsi="Arial" w:cs="Arial"/>
          <w:sz w:val="24"/>
          <w:szCs w:val="24"/>
        </w:rPr>
      </w:pPr>
      <w:r w:rsidRPr="00297110">
        <w:rPr>
          <w:rFonts w:ascii="Arial" w:hAnsi="Arial" w:cs="Arial"/>
          <w:sz w:val="24"/>
          <w:szCs w:val="24"/>
        </w:rPr>
        <w:t>La se</w:t>
      </w:r>
      <w:r w:rsidR="007A4B44" w:rsidRPr="00297110">
        <w:rPr>
          <w:rFonts w:ascii="Arial" w:hAnsi="Arial" w:cs="Arial"/>
          <w:sz w:val="24"/>
          <w:szCs w:val="24"/>
        </w:rPr>
        <w:t>ntencia C 520 de 2019  menciona</w:t>
      </w:r>
      <w:r w:rsidRPr="00297110">
        <w:rPr>
          <w:rFonts w:ascii="Arial" w:hAnsi="Arial" w:cs="Arial"/>
          <w:sz w:val="24"/>
          <w:szCs w:val="24"/>
        </w:rPr>
        <w:t>:</w:t>
      </w:r>
    </w:p>
    <w:p w:rsidR="007E39E9" w:rsidRPr="00297110" w:rsidRDefault="007E39E9" w:rsidP="00297110">
      <w:pPr>
        <w:jc w:val="both"/>
        <w:rPr>
          <w:rFonts w:ascii="Arial" w:hAnsi="Arial" w:cs="Arial"/>
          <w:sz w:val="24"/>
          <w:szCs w:val="24"/>
        </w:rPr>
      </w:pPr>
      <w:r w:rsidRPr="00297110">
        <w:rPr>
          <w:rFonts w:ascii="Arial" w:hAnsi="Arial" w:cs="Arial"/>
          <w:sz w:val="24"/>
          <w:szCs w:val="24"/>
        </w:rPr>
        <w:t>(…) es posible concluir que, si bien la jurisprudencia de esta Corporación ha flexibilizado las obligaciones que surgen de lo dispuesto en el artículo 7° de la Ley 819 de 2003, de forma que no se transforme en una barrera formal que contraríe o límite de desproporcionadamente la actividad del legislador, dicha flexibilización no puede interpretarse como una autorización para que el legislador o el Gobierno puedan eximirse de cumplir con lo dispuesto en la Ley Orgánica del Presupuesto. La Corte Constitucional no ha pretendido eliminar con su interpretación el efecto útil de una norma cuyo fin es garantizar la racionalidad fiscal de las medidas que establezcan gastos o beneficios sino por el contrario, por lo que debe estudiar que en realidad el legislador haya tomado las medidas con el conocimiento suficiente sobre su impacto fiscal (…).</w:t>
      </w:r>
    </w:p>
    <w:p w:rsidR="00F607AD" w:rsidRDefault="007A4B44" w:rsidP="00297110">
      <w:pPr>
        <w:jc w:val="both"/>
        <w:rPr>
          <w:rFonts w:ascii="Arial" w:hAnsi="Arial" w:cs="Arial"/>
          <w:sz w:val="24"/>
          <w:szCs w:val="24"/>
        </w:rPr>
      </w:pPr>
      <w:r w:rsidRPr="00297110">
        <w:rPr>
          <w:rFonts w:ascii="Arial" w:hAnsi="Arial" w:cs="Arial"/>
          <w:sz w:val="24"/>
          <w:szCs w:val="24"/>
        </w:rPr>
        <w:t xml:space="preserve">Por lo anterior el proyecto de Acto Legislativo carece de una análisis de impacto fiscal, el cual se torna fundamentan más aun cuando se están afectando finanzas publicas territoriales como se han mencionado en las líneas anteriores. </w:t>
      </w:r>
    </w:p>
    <w:p w:rsidR="009933D4" w:rsidRPr="00297110" w:rsidRDefault="009933D4" w:rsidP="00297110">
      <w:pPr>
        <w:jc w:val="both"/>
        <w:rPr>
          <w:rFonts w:ascii="Arial" w:hAnsi="Arial" w:cs="Arial"/>
          <w:b/>
          <w:sz w:val="24"/>
          <w:szCs w:val="24"/>
        </w:rPr>
      </w:pPr>
    </w:p>
    <w:p w:rsidR="002A5551" w:rsidRPr="00297110" w:rsidRDefault="002A5551" w:rsidP="002A5551">
      <w:pPr>
        <w:pStyle w:val="Prrafodelista"/>
        <w:ind w:left="1080"/>
        <w:rPr>
          <w:rFonts w:ascii="Arial" w:hAnsi="Arial" w:cs="Arial"/>
          <w:b/>
          <w:sz w:val="24"/>
          <w:szCs w:val="24"/>
        </w:rPr>
      </w:pPr>
    </w:p>
    <w:p w:rsidR="00331F37" w:rsidRPr="00297110" w:rsidRDefault="00331F37" w:rsidP="002A5551">
      <w:pPr>
        <w:pStyle w:val="Prrafodelista"/>
        <w:numPr>
          <w:ilvl w:val="1"/>
          <w:numId w:val="3"/>
        </w:numPr>
        <w:jc w:val="both"/>
        <w:rPr>
          <w:rFonts w:ascii="Arial" w:hAnsi="Arial" w:cs="Arial"/>
          <w:b/>
          <w:sz w:val="24"/>
          <w:szCs w:val="24"/>
        </w:rPr>
      </w:pPr>
      <w:r w:rsidRPr="00297110">
        <w:rPr>
          <w:rFonts w:ascii="Arial" w:hAnsi="Arial" w:cs="Arial"/>
          <w:b/>
          <w:sz w:val="24"/>
          <w:szCs w:val="24"/>
        </w:rPr>
        <w:t xml:space="preserve">Político </w:t>
      </w:r>
    </w:p>
    <w:p w:rsidR="007A4B44" w:rsidRPr="00297110" w:rsidRDefault="00F949D0" w:rsidP="007A4B44">
      <w:pPr>
        <w:jc w:val="both"/>
        <w:rPr>
          <w:rFonts w:ascii="Arial" w:hAnsi="Arial" w:cs="Arial"/>
          <w:sz w:val="24"/>
          <w:szCs w:val="24"/>
        </w:rPr>
      </w:pPr>
      <w:r w:rsidRPr="00297110">
        <w:rPr>
          <w:rFonts w:ascii="Arial" w:hAnsi="Arial" w:cs="Arial"/>
          <w:sz w:val="24"/>
          <w:szCs w:val="24"/>
        </w:rPr>
        <w:t xml:space="preserve">Sobre el componente político es necesario resaltar que </w:t>
      </w:r>
      <w:r w:rsidR="007A4B44" w:rsidRPr="00297110">
        <w:rPr>
          <w:rFonts w:ascii="Arial" w:hAnsi="Arial" w:cs="Arial"/>
          <w:sz w:val="24"/>
          <w:szCs w:val="24"/>
        </w:rPr>
        <w:t>la</w:t>
      </w:r>
      <w:r w:rsidRPr="00297110">
        <w:rPr>
          <w:rFonts w:ascii="Arial" w:hAnsi="Arial" w:cs="Arial"/>
          <w:sz w:val="24"/>
          <w:szCs w:val="24"/>
        </w:rPr>
        <w:t xml:space="preserve"> iniciativa</w:t>
      </w:r>
      <w:r w:rsidR="007A4B44" w:rsidRPr="00297110">
        <w:rPr>
          <w:rFonts w:ascii="Arial" w:hAnsi="Arial" w:cs="Arial"/>
          <w:sz w:val="24"/>
          <w:szCs w:val="24"/>
        </w:rPr>
        <w:t xml:space="preserve"> ha sido presentada sin la socialización</w:t>
      </w:r>
      <w:r w:rsidR="00297110" w:rsidRPr="00297110">
        <w:rPr>
          <w:rFonts w:ascii="Arial" w:hAnsi="Arial" w:cs="Arial"/>
          <w:sz w:val="24"/>
          <w:szCs w:val="24"/>
        </w:rPr>
        <w:t xml:space="preserve"> debida</w:t>
      </w:r>
      <w:r w:rsidR="007A4B44" w:rsidRPr="00297110">
        <w:rPr>
          <w:rFonts w:ascii="Arial" w:hAnsi="Arial" w:cs="Arial"/>
          <w:sz w:val="24"/>
          <w:szCs w:val="24"/>
        </w:rPr>
        <w:t xml:space="preserve"> a los actores que puedan resultar afectados con la medida, en consecuencia, dentro de la discusión </w:t>
      </w:r>
      <w:r w:rsidR="00297110" w:rsidRPr="00297110">
        <w:rPr>
          <w:rFonts w:ascii="Arial" w:hAnsi="Arial" w:cs="Arial"/>
          <w:sz w:val="24"/>
          <w:szCs w:val="24"/>
        </w:rPr>
        <w:t>del</w:t>
      </w:r>
      <w:r w:rsidR="007A4B44" w:rsidRPr="00297110">
        <w:rPr>
          <w:rFonts w:ascii="Arial" w:hAnsi="Arial" w:cs="Arial"/>
          <w:sz w:val="24"/>
          <w:szCs w:val="24"/>
        </w:rPr>
        <w:t xml:space="preserve"> proyecto de acto legislativo, debe tenerse en cuenta actores, como el Departamento de Cundinamarca, el Distrito Capital de Bogotá, la asamblea departamental, </w:t>
      </w:r>
      <w:r w:rsidR="00297110" w:rsidRPr="00297110">
        <w:rPr>
          <w:rFonts w:ascii="Arial" w:hAnsi="Arial" w:cs="Arial"/>
          <w:sz w:val="24"/>
          <w:szCs w:val="24"/>
        </w:rPr>
        <w:t>el Consejo Distrital y los C</w:t>
      </w:r>
      <w:r w:rsidR="007A4B44" w:rsidRPr="00297110">
        <w:rPr>
          <w:rFonts w:ascii="Arial" w:hAnsi="Arial" w:cs="Arial"/>
          <w:sz w:val="24"/>
          <w:szCs w:val="24"/>
        </w:rPr>
        <w:t>oncejos</w:t>
      </w:r>
      <w:r w:rsidR="00297110" w:rsidRPr="00297110">
        <w:rPr>
          <w:rFonts w:ascii="Arial" w:hAnsi="Arial" w:cs="Arial"/>
          <w:sz w:val="24"/>
          <w:szCs w:val="24"/>
        </w:rPr>
        <w:t xml:space="preserve"> Municipales </w:t>
      </w:r>
      <w:r w:rsidR="007A4B44" w:rsidRPr="00297110">
        <w:rPr>
          <w:rFonts w:ascii="Arial" w:hAnsi="Arial" w:cs="Arial"/>
          <w:sz w:val="24"/>
          <w:szCs w:val="24"/>
        </w:rPr>
        <w:t xml:space="preserve"> y los  habitantes, que claramente resultan afectados con este proyecto </w:t>
      </w:r>
      <w:r w:rsidR="00297110" w:rsidRPr="00297110">
        <w:rPr>
          <w:rFonts w:ascii="Arial" w:hAnsi="Arial" w:cs="Arial"/>
          <w:sz w:val="24"/>
          <w:szCs w:val="24"/>
        </w:rPr>
        <w:t xml:space="preserve">de Acto Legislativo. </w:t>
      </w:r>
    </w:p>
    <w:p w:rsidR="00297110" w:rsidRDefault="00297110" w:rsidP="00297110">
      <w:pPr>
        <w:rPr>
          <w:rFonts w:ascii="Arial" w:hAnsi="Arial" w:cs="Arial"/>
          <w:sz w:val="24"/>
          <w:szCs w:val="24"/>
        </w:rPr>
      </w:pPr>
      <w:r w:rsidRPr="00297110">
        <w:rPr>
          <w:rFonts w:ascii="Arial" w:hAnsi="Arial" w:cs="Arial"/>
          <w:sz w:val="24"/>
          <w:szCs w:val="24"/>
        </w:rPr>
        <w:t>A esto se suma que cerca de 15 congresistas han retirado el apoyo del proyecto de Acto Legislativo 215 Cámara “Por medio del cual se modifican los artículos 322 y 326 de la constitución política”</w:t>
      </w:r>
    </w:p>
    <w:p w:rsidR="00782838" w:rsidRPr="00297110" w:rsidRDefault="00782838" w:rsidP="00297110">
      <w:pPr>
        <w:rPr>
          <w:rFonts w:ascii="Arial" w:hAnsi="Arial" w:cs="Arial"/>
          <w:sz w:val="24"/>
          <w:szCs w:val="24"/>
        </w:rPr>
      </w:pPr>
    </w:p>
    <w:p w:rsidR="00297110" w:rsidRDefault="00297110">
      <w:pPr>
        <w:jc w:val="both"/>
        <w:rPr>
          <w:rFonts w:ascii="Arial" w:hAnsi="Arial" w:cs="Arial"/>
          <w:sz w:val="24"/>
          <w:szCs w:val="24"/>
        </w:rPr>
      </w:pPr>
    </w:p>
    <w:p w:rsidR="004312B7" w:rsidRPr="008F3CA0" w:rsidRDefault="004312B7" w:rsidP="004312B7">
      <w:pPr>
        <w:jc w:val="center"/>
        <w:rPr>
          <w:rFonts w:ascii="Arial" w:hAnsi="Arial" w:cs="Arial"/>
          <w:b/>
          <w:bCs/>
          <w:color w:val="000000"/>
          <w:sz w:val="24"/>
          <w:szCs w:val="24"/>
        </w:rPr>
      </w:pPr>
      <w:r>
        <w:rPr>
          <w:rFonts w:ascii="Arial" w:hAnsi="Arial" w:cs="Arial"/>
          <w:b/>
          <w:bCs/>
          <w:color w:val="000000"/>
          <w:sz w:val="24"/>
          <w:szCs w:val="24"/>
        </w:rPr>
        <w:t>4. CONFLICTO DE INTERÉS</w:t>
      </w:r>
    </w:p>
    <w:p w:rsidR="004312B7" w:rsidRPr="008F3CA0" w:rsidRDefault="004312B7" w:rsidP="004312B7">
      <w:pPr>
        <w:jc w:val="both"/>
        <w:rPr>
          <w:rFonts w:ascii="Arial" w:hAnsi="Arial" w:cs="Arial"/>
          <w:sz w:val="24"/>
          <w:szCs w:val="24"/>
        </w:rPr>
      </w:pPr>
      <w:r w:rsidRPr="008F3CA0">
        <w:rPr>
          <w:rFonts w:ascii="Arial" w:hAnsi="Arial" w:cs="Arial"/>
          <w:sz w:val="24"/>
          <w:szCs w:val="24"/>
        </w:rPr>
        <w:t>Según lo establecido en el artículo 3 de la Ley 2003 del 19 de noviembre de 2019, por la cual se modifica parcialmente la Ley 5 de 1992, se hacen las siguientes consideraciones:</w:t>
      </w:r>
    </w:p>
    <w:p w:rsidR="004312B7" w:rsidRPr="008F3CA0" w:rsidRDefault="004312B7" w:rsidP="004312B7">
      <w:pPr>
        <w:jc w:val="both"/>
        <w:rPr>
          <w:rFonts w:ascii="Arial" w:hAnsi="Arial" w:cs="Arial"/>
          <w:sz w:val="24"/>
          <w:szCs w:val="24"/>
        </w:rPr>
      </w:pPr>
      <w:r w:rsidRPr="008F3CA0">
        <w:rPr>
          <w:rFonts w:ascii="Arial" w:hAnsi="Arial" w:cs="Arial"/>
          <w:sz w:val="24"/>
          <w:szCs w:val="24"/>
        </w:rPr>
        <w:t>De manera meramente orientativa, se considera que para la discusión y aprobación de este Proyecto de Acto Legislativo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4312B7" w:rsidRPr="008F3CA0" w:rsidRDefault="004312B7" w:rsidP="004312B7">
      <w:pPr>
        <w:jc w:val="center"/>
        <w:rPr>
          <w:rFonts w:ascii="Arial" w:hAnsi="Arial" w:cs="Arial"/>
          <w:b/>
          <w:bCs/>
          <w:sz w:val="24"/>
          <w:szCs w:val="24"/>
        </w:rPr>
      </w:pPr>
      <w:r>
        <w:rPr>
          <w:rFonts w:ascii="Arial" w:hAnsi="Arial" w:cs="Arial"/>
          <w:b/>
          <w:bCs/>
          <w:sz w:val="24"/>
          <w:szCs w:val="24"/>
        </w:rPr>
        <w:t>5</w:t>
      </w:r>
      <w:r w:rsidRPr="008F3CA0">
        <w:rPr>
          <w:rFonts w:ascii="Arial" w:hAnsi="Arial" w:cs="Arial"/>
          <w:b/>
          <w:bCs/>
          <w:sz w:val="24"/>
          <w:szCs w:val="24"/>
        </w:rPr>
        <w:t>. PROPOSICIÓN</w:t>
      </w:r>
    </w:p>
    <w:p w:rsidR="004312B7" w:rsidRPr="00297110" w:rsidRDefault="004312B7" w:rsidP="004312B7">
      <w:pPr>
        <w:jc w:val="both"/>
        <w:rPr>
          <w:rFonts w:ascii="Arial" w:hAnsi="Arial" w:cs="Arial"/>
          <w:sz w:val="24"/>
          <w:szCs w:val="24"/>
        </w:rPr>
      </w:pPr>
      <w:r w:rsidRPr="008F3CA0">
        <w:rPr>
          <w:rFonts w:ascii="Arial" w:hAnsi="Arial" w:cs="Arial"/>
          <w:sz w:val="24"/>
          <w:szCs w:val="24"/>
        </w:rPr>
        <w:t>Considerando los argumentos expuestos y en cumplimiento de los requisitos establecidos en la Ley 5° de 1992,</w:t>
      </w:r>
      <w:r>
        <w:rPr>
          <w:rFonts w:ascii="Arial" w:hAnsi="Arial" w:cs="Arial"/>
          <w:sz w:val="24"/>
          <w:szCs w:val="24"/>
        </w:rPr>
        <w:t xml:space="preserve"> presentamos ponencia negativa</w:t>
      </w:r>
      <w:r w:rsidR="009933D4">
        <w:rPr>
          <w:rFonts w:ascii="Arial" w:hAnsi="Arial" w:cs="Arial"/>
          <w:sz w:val="24"/>
          <w:szCs w:val="24"/>
        </w:rPr>
        <w:t xml:space="preserve"> y</w:t>
      </w:r>
      <w:r w:rsidRPr="008F3CA0">
        <w:rPr>
          <w:rFonts w:ascii="Arial" w:hAnsi="Arial" w:cs="Arial"/>
          <w:sz w:val="24"/>
          <w:szCs w:val="24"/>
        </w:rPr>
        <w:t xml:space="preserve"> en consecuencia, solicitamos a los miembros de la Comisión Primera de la Cámara de Representantes </w:t>
      </w:r>
      <w:r>
        <w:rPr>
          <w:rFonts w:ascii="Arial" w:hAnsi="Arial" w:cs="Arial"/>
          <w:sz w:val="24"/>
          <w:szCs w:val="24"/>
        </w:rPr>
        <w:t>archivar el</w:t>
      </w:r>
      <w:r w:rsidRPr="008F3CA0">
        <w:rPr>
          <w:rFonts w:ascii="Arial" w:hAnsi="Arial" w:cs="Arial"/>
          <w:sz w:val="24"/>
          <w:szCs w:val="24"/>
        </w:rPr>
        <w:t xml:space="preserve"> Proyecto de Acto Legislativo </w:t>
      </w:r>
      <w:r w:rsidRPr="00297110">
        <w:rPr>
          <w:rFonts w:ascii="Arial" w:hAnsi="Arial" w:cs="Arial"/>
          <w:sz w:val="24"/>
          <w:szCs w:val="24"/>
        </w:rPr>
        <w:t>215 Cámara “Por medio del cual se modifican los artículos 322 y 326 de la constitución política”</w:t>
      </w:r>
    </w:p>
    <w:p w:rsidR="004312B7" w:rsidRDefault="004312B7" w:rsidP="004312B7">
      <w:pPr>
        <w:jc w:val="both"/>
        <w:rPr>
          <w:rFonts w:ascii="Arial" w:hAnsi="Arial" w:cs="Arial"/>
          <w:sz w:val="24"/>
          <w:szCs w:val="24"/>
        </w:rPr>
      </w:pPr>
    </w:p>
    <w:p w:rsidR="004312B7" w:rsidRDefault="004312B7" w:rsidP="004312B7">
      <w:pPr>
        <w:jc w:val="both"/>
        <w:rPr>
          <w:rFonts w:ascii="Arial" w:hAnsi="Arial" w:cs="Arial"/>
          <w:sz w:val="24"/>
          <w:szCs w:val="24"/>
        </w:rPr>
      </w:pPr>
    </w:p>
    <w:p w:rsidR="004312B7" w:rsidRDefault="004312B7" w:rsidP="004312B7">
      <w:pPr>
        <w:jc w:val="both"/>
        <w:rPr>
          <w:rFonts w:ascii="Arial" w:hAnsi="Arial" w:cs="Arial"/>
          <w:sz w:val="24"/>
          <w:szCs w:val="24"/>
        </w:rPr>
      </w:pPr>
    </w:p>
    <w:p w:rsidR="004312B7" w:rsidRDefault="004312B7" w:rsidP="004312B7">
      <w:pPr>
        <w:jc w:val="both"/>
        <w:rPr>
          <w:rFonts w:ascii="Arial" w:hAnsi="Arial" w:cs="Arial"/>
          <w:sz w:val="24"/>
          <w:szCs w:val="24"/>
        </w:rPr>
      </w:pPr>
    </w:p>
    <w:p w:rsidR="004312B7" w:rsidRDefault="004312B7" w:rsidP="004312B7">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Pr>
          <w:rFonts w:ascii="Arial" w:hAnsi="Arial" w:cs="Arial"/>
          <w:b/>
          <w:sz w:val="24"/>
        </w:rPr>
        <w:t xml:space="preserve">              </w:t>
      </w:r>
      <w:r w:rsidRPr="004312B7">
        <w:rPr>
          <w:rFonts w:ascii="Arial" w:hAnsi="Arial" w:cs="Arial"/>
          <w:b/>
          <w:sz w:val="24"/>
        </w:rPr>
        <w:t>CAROLINA ARBELAEZ GIRALDO</w:t>
      </w:r>
      <w:r>
        <w:rPr>
          <w:rFonts w:ascii="Arial" w:hAnsi="Arial" w:cs="Arial"/>
          <w:sz w:val="24"/>
          <w:szCs w:val="24"/>
        </w:rPr>
        <w:br/>
        <w:t xml:space="preserve">Coordinador Ponente                                     </w:t>
      </w:r>
      <w:proofErr w:type="spellStart"/>
      <w:r>
        <w:rPr>
          <w:rFonts w:ascii="Arial" w:hAnsi="Arial" w:cs="Arial"/>
          <w:sz w:val="24"/>
          <w:szCs w:val="24"/>
        </w:rPr>
        <w:t>Ponente</w:t>
      </w:r>
      <w:proofErr w:type="spellEnd"/>
      <w:r>
        <w:rPr>
          <w:rFonts w:ascii="Arial" w:hAnsi="Arial" w:cs="Arial"/>
          <w:sz w:val="24"/>
          <w:szCs w:val="24"/>
        </w:rPr>
        <w:t xml:space="preserve"> </w:t>
      </w:r>
    </w:p>
    <w:p w:rsidR="004312B7" w:rsidRDefault="004312B7" w:rsidP="004312B7">
      <w:pPr>
        <w:rPr>
          <w:rFonts w:ascii="Arial" w:hAnsi="Arial" w:cs="Arial"/>
          <w:sz w:val="24"/>
          <w:szCs w:val="24"/>
        </w:rPr>
      </w:pPr>
    </w:p>
    <w:p w:rsidR="004312B7" w:rsidRDefault="004312B7" w:rsidP="004312B7">
      <w:pPr>
        <w:rPr>
          <w:rFonts w:ascii="Arial" w:hAnsi="Arial" w:cs="Arial"/>
          <w:sz w:val="24"/>
          <w:szCs w:val="24"/>
        </w:rPr>
      </w:pPr>
    </w:p>
    <w:p w:rsidR="004312B7" w:rsidRDefault="004312B7" w:rsidP="004312B7">
      <w:pPr>
        <w:rPr>
          <w:rFonts w:ascii="Arial" w:hAnsi="Arial" w:cs="Arial"/>
          <w:sz w:val="24"/>
          <w:szCs w:val="24"/>
        </w:rPr>
      </w:pPr>
    </w:p>
    <w:p w:rsidR="004312B7" w:rsidRDefault="004312B7" w:rsidP="004312B7">
      <w:pPr>
        <w:rPr>
          <w:rFonts w:ascii="Arial" w:hAnsi="Arial" w:cs="Arial"/>
          <w:sz w:val="24"/>
          <w:szCs w:val="24"/>
        </w:rPr>
      </w:pPr>
      <w:r w:rsidRPr="004312B7">
        <w:rPr>
          <w:rFonts w:ascii="Arial" w:hAnsi="Arial" w:cs="Arial"/>
          <w:b/>
          <w:sz w:val="24"/>
        </w:rPr>
        <w:t xml:space="preserve">CATHERINE JUVINAO CLAVIJO </w:t>
      </w:r>
      <w:r>
        <w:rPr>
          <w:rFonts w:ascii="Arial" w:hAnsi="Arial" w:cs="Arial"/>
          <w:b/>
          <w:sz w:val="24"/>
        </w:rPr>
        <w:t xml:space="preserve">                </w:t>
      </w:r>
      <w:r>
        <w:rPr>
          <w:rFonts w:ascii="Arial" w:hAnsi="Arial" w:cs="Arial"/>
          <w:b/>
          <w:sz w:val="24"/>
          <w:szCs w:val="24"/>
        </w:rPr>
        <w:t xml:space="preserve">JOSE JAIME USCATEGUI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rsidR="004312B7" w:rsidRDefault="004312B7" w:rsidP="004312B7">
      <w:pPr>
        <w:jc w:val="both"/>
        <w:rPr>
          <w:rFonts w:ascii="Arial" w:hAnsi="Arial" w:cs="Arial"/>
          <w:sz w:val="24"/>
          <w:szCs w:val="24"/>
        </w:rPr>
      </w:pPr>
    </w:p>
    <w:p w:rsidR="004312B7" w:rsidRDefault="004312B7" w:rsidP="004312B7">
      <w:pPr>
        <w:rPr>
          <w:rFonts w:ascii="Arial" w:hAnsi="Arial" w:cs="Arial"/>
          <w:b/>
          <w:sz w:val="24"/>
        </w:rPr>
      </w:pPr>
    </w:p>
    <w:p w:rsidR="004312B7" w:rsidRDefault="004312B7" w:rsidP="004312B7">
      <w:pPr>
        <w:rPr>
          <w:rFonts w:ascii="Arial" w:hAnsi="Arial" w:cs="Arial"/>
          <w:b/>
          <w:sz w:val="24"/>
        </w:rPr>
      </w:pPr>
    </w:p>
    <w:p w:rsidR="004312B7" w:rsidRDefault="004312B7" w:rsidP="004312B7">
      <w:pPr>
        <w:rPr>
          <w:rFonts w:ascii="Arial" w:hAnsi="Arial" w:cs="Arial"/>
          <w:sz w:val="24"/>
          <w:szCs w:val="24"/>
        </w:rPr>
      </w:pPr>
      <w:r w:rsidRPr="004312B7">
        <w:rPr>
          <w:rFonts w:ascii="Arial" w:hAnsi="Arial" w:cs="Arial"/>
          <w:b/>
          <w:sz w:val="24"/>
        </w:rPr>
        <w:t>EDUARD SARMIENTO HIDALGO</w:t>
      </w:r>
      <w:r>
        <w:rPr>
          <w:b/>
          <w:sz w:val="24"/>
        </w:rPr>
        <w:t xml:space="preserve">                   </w:t>
      </w:r>
      <w:r>
        <w:rPr>
          <w:rFonts w:ascii="Arial" w:hAnsi="Arial" w:cs="Arial"/>
          <w:b/>
          <w:sz w:val="24"/>
          <w:szCs w:val="24"/>
        </w:rPr>
        <w:t xml:space="preserve">JORGE ELIECER TAMAYO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rsidR="004312B7" w:rsidRDefault="004312B7" w:rsidP="004312B7">
      <w:pPr>
        <w:rPr>
          <w:rFonts w:ascii="Arial" w:hAnsi="Arial" w:cs="Arial"/>
          <w:b/>
          <w:sz w:val="24"/>
          <w:szCs w:val="24"/>
        </w:rPr>
      </w:pPr>
    </w:p>
    <w:p w:rsidR="004312B7" w:rsidRDefault="004312B7" w:rsidP="004312B7">
      <w:pPr>
        <w:rPr>
          <w:rFonts w:ascii="Arial" w:hAnsi="Arial" w:cs="Arial"/>
          <w:b/>
          <w:sz w:val="24"/>
          <w:szCs w:val="24"/>
        </w:rPr>
      </w:pPr>
    </w:p>
    <w:p w:rsidR="004312B7" w:rsidRDefault="004312B7" w:rsidP="004312B7">
      <w:pPr>
        <w:rPr>
          <w:rFonts w:ascii="Arial" w:hAnsi="Arial" w:cs="Arial"/>
          <w:b/>
          <w:sz w:val="24"/>
          <w:szCs w:val="24"/>
        </w:rPr>
      </w:pPr>
    </w:p>
    <w:p w:rsidR="004312B7" w:rsidRDefault="004312B7" w:rsidP="004312B7">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rsidR="004312B7" w:rsidRDefault="004312B7" w:rsidP="004312B7">
      <w:pPr>
        <w:rPr>
          <w:rFonts w:ascii="Arial" w:hAnsi="Arial" w:cs="Arial"/>
          <w:sz w:val="24"/>
          <w:szCs w:val="24"/>
        </w:rPr>
      </w:pPr>
    </w:p>
    <w:p w:rsidR="004312B7" w:rsidRDefault="004312B7" w:rsidP="004312B7">
      <w:pPr>
        <w:rPr>
          <w:rFonts w:ascii="Arial" w:hAnsi="Arial" w:cs="Arial"/>
          <w:sz w:val="24"/>
          <w:szCs w:val="24"/>
        </w:rPr>
      </w:pPr>
    </w:p>
    <w:p w:rsidR="004312B7" w:rsidRDefault="004312B7" w:rsidP="004312B7">
      <w:pPr>
        <w:rPr>
          <w:rFonts w:ascii="Arial" w:hAnsi="Arial" w:cs="Arial"/>
          <w:b/>
          <w:sz w:val="24"/>
          <w:szCs w:val="24"/>
        </w:rPr>
      </w:pPr>
    </w:p>
    <w:p w:rsidR="004312B7" w:rsidRDefault="004312B7" w:rsidP="004312B7">
      <w:pPr>
        <w:rPr>
          <w:rFonts w:ascii="Arial" w:hAnsi="Arial" w:cs="Arial"/>
          <w:sz w:val="24"/>
          <w:szCs w:val="24"/>
        </w:rPr>
      </w:pPr>
      <w:r>
        <w:rPr>
          <w:rFonts w:ascii="Arial" w:hAnsi="Arial" w:cs="Arial"/>
          <w:b/>
          <w:sz w:val="24"/>
          <w:szCs w:val="24"/>
        </w:rPr>
        <w:t xml:space="preserve">ORLANDO CASTILLO ADVINCULA            </w:t>
      </w:r>
      <w:r w:rsidRPr="004312B7">
        <w:rPr>
          <w:rFonts w:ascii="Arial" w:hAnsi="Arial" w:cs="Arial"/>
          <w:b/>
          <w:sz w:val="24"/>
        </w:rPr>
        <w:t>LUIS EDUARD DIAZ MATEUS</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rsidR="004312B7" w:rsidRDefault="004312B7" w:rsidP="004312B7">
      <w:pPr>
        <w:jc w:val="both"/>
        <w:rPr>
          <w:rFonts w:ascii="Arial" w:hAnsi="Arial" w:cs="Arial"/>
          <w:sz w:val="24"/>
          <w:szCs w:val="24"/>
        </w:rPr>
      </w:pPr>
    </w:p>
    <w:p w:rsidR="004312B7" w:rsidRDefault="004312B7">
      <w:pPr>
        <w:jc w:val="both"/>
        <w:rPr>
          <w:rFonts w:ascii="Arial" w:hAnsi="Arial" w:cs="Arial"/>
          <w:sz w:val="24"/>
          <w:szCs w:val="24"/>
        </w:rPr>
      </w:pPr>
    </w:p>
    <w:p w:rsidR="004312B7" w:rsidRPr="00297110" w:rsidRDefault="004312B7">
      <w:pPr>
        <w:jc w:val="both"/>
        <w:rPr>
          <w:rFonts w:ascii="Arial" w:hAnsi="Arial" w:cs="Arial"/>
          <w:sz w:val="24"/>
          <w:szCs w:val="24"/>
        </w:rPr>
      </w:pPr>
    </w:p>
    <w:sectPr w:rsidR="004312B7" w:rsidRPr="0029711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17" w:rsidRDefault="007D4217" w:rsidP="00F93A48">
      <w:pPr>
        <w:spacing w:after="0" w:line="240" w:lineRule="auto"/>
      </w:pPr>
      <w:r>
        <w:separator/>
      </w:r>
    </w:p>
  </w:endnote>
  <w:endnote w:type="continuationSeparator" w:id="0">
    <w:p w:rsidR="007D4217" w:rsidRDefault="007D4217" w:rsidP="00F9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17" w:rsidRDefault="007D4217" w:rsidP="00F93A48">
      <w:pPr>
        <w:spacing w:after="0" w:line="240" w:lineRule="auto"/>
      </w:pPr>
      <w:r>
        <w:separator/>
      </w:r>
    </w:p>
  </w:footnote>
  <w:footnote w:type="continuationSeparator" w:id="0">
    <w:p w:rsidR="007D4217" w:rsidRDefault="007D4217" w:rsidP="00F93A48">
      <w:pPr>
        <w:spacing w:after="0" w:line="240" w:lineRule="auto"/>
      </w:pPr>
      <w:r>
        <w:continuationSeparator/>
      </w:r>
    </w:p>
  </w:footnote>
  <w:footnote w:id="1">
    <w:p w:rsidR="003A5775" w:rsidRPr="00C3752C" w:rsidRDefault="003A5775" w:rsidP="003A5775">
      <w:pPr>
        <w:pStyle w:val="Textonotapie"/>
        <w:rPr>
          <w:sz w:val="16"/>
          <w:szCs w:val="16"/>
        </w:rPr>
      </w:pPr>
      <w:r w:rsidRPr="00C3752C">
        <w:rPr>
          <w:rStyle w:val="Refdenotaalpie"/>
          <w:sz w:val="16"/>
          <w:szCs w:val="16"/>
        </w:rPr>
        <w:footnoteRef/>
      </w:r>
      <w:r w:rsidRPr="00C3752C">
        <w:rPr>
          <w:sz w:val="16"/>
          <w:szCs w:val="16"/>
        </w:rPr>
        <w:t xml:space="preserve"> Oficinas de Registro de Instrumentos Públicos.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48" w:rsidRPr="009933D4" w:rsidRDefault="009933D4" w:rsidP="009933D4">
    <w:pPr>
      <w:pStyle w:val="Encabezado"/>
      <w:jc w:val="center"/>
    </w:pPr>
    <w:r>
      <w:rPr>
        <w:noProof/>
        <w:lang w:eastAsia="es-CO"/>
      </w:rPr>
      <w:drawing>
        <wp:inline distT="0" distB="0" distL="0" distR="0" wp14:anchorId="4FC5CD00" wp14:editId="725668B7">
          <wp:extent cx="2772410" cy="1076239"/>
          <wp:effectExtent l="0" t="0" r="0" b="0"/>
          <wp:docPr id="1" name="Imagen 1" descr="Comisión legal de cuentas Cámara de Representan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sión legal de cuentas Cámara de Representante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645" cy="11198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3AC5"/>
    <w:multiLevelType w:val="hybridMultilevel"/>
    <w:tmpl w:val="65D044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DF1B95"/>
    <w:multiLevelType w:val="multilevel"/>
    <w:tmpl w:val="49883E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E3702F"/>
    <w:multiLevelType w:val="hybridMultilevel"/>
    <w:tmpl w:val="77B86CC6"/>
    <w:lvl w:ilvl="0" w:tplc="4EF0C9F6">
      <w:start w:val="5"/>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3439E1"/>
    <w:multiLevelType w:val="multilevel"/>
    <w:tmpl w:val="3B161B9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0ED1658"/>
    <w:multiLevelType w:val="hybridMultilevel"/>
    <w:tmpl w:val="21B69E72"/>
    <w:lvl w:ilvl="0" w:tplc="961EA9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C5"/>
    <w:rsid w:val="000C1A9F"/>
    <w:rsid w:val="0012005C"/>
    <w:rsid w:val="002315DC"/>
    <w:rsid w:val="00297110"/>
    <w:rsid w:val="002A5551"/>
    <w:rsid w:val="00331F37"/>
    <w:rsid w:val="003A5775"/>
    <w:rsid w:val="003E35C7"/>
    <w:rsid w:val="003E7365"/>
    <w:rsid w:val="00402B4B"/>
    <w:rsid w:val="004312B7"/>
    <w:rsid w:val="00472C5F"/>
    <w:rsid w:val="00474130"/>
    <w:rsid w:val="00486179"/>
    <w:rsid w:val="00556807"/>
    <w:rsid w:val="005A26D1"/>
    <w:rsid w:val="006013E1"/>
    <w:rsid w:val="00673D7C"/>
    <w:rsid w:val="006B3A5E"/>
    <w:rsid w:val="006C4791"/>
    <w:rsid w:val="00720EEB"/>
    <w:rsid w:val="00737B99"/>
    <w:rsid w:val="00782838"/>
    <w:rsid w:val="007877A3"/>
    <w:rsid w:val="007A4B44"/>
    <w:rsid w:val="007D4217"/>
    <w:rsid w:val="007E39E9"/>
    <w:rsid w:val="007F286F"/>
    <w:rsid w:val="007F2AC5"/>
    <w:rsid w:val="0080487F"/>
    <w:rsid w:val="00852AE3"/>
    <w:rsid w:val="008C0105"/>
    <w:rsid w:val="00903546"/>
    <w:rsid w:val="0099037E"/>
    <w:rsid w:val="009933D4"/>
    <w:rsid w:val="009D051B"/>
    <w:rsid w:val="009F1782"/>
    <w:rsid w:val="00A177B8"/>
    <w:rsid w:val="00A473E4"/>
    <w:rsid w:val="00A84197"/>
    <w:rsid w:val="00B822C5"/>
    <w:rsid w:val="00C61719"/>
    <w:rsid w:val="00CC44B2"/>
    <w:rsid w:val="00D11208"/>
    <w:rsid w:val="00DD48F4"/>
    <w:rsid w:val="00E26611"/>
    <w:rsid w:val="00E27655"/>
    <w:rsid w:val="00E45B8F"/>
    <w:rsid w:val="00E52BBF"/>
    <w:rsid w:val="00E70F45"/>
    <w:rsid w:val="00EE5863"/>
    <w:rsid w:val="00EE720A"/>
    <w:rsid w:val="00F607AD"/>
    <w:rsid w:val="00F93A48"/>
    <w:rsid w:val="00F949D0"/>
    <w:rsid w:val="00FB37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E78A12-34F7-42EC-8A02-E280D5BA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C5"/>
  </w:style>
  <w:style w:type="paragraph" w:styleId="Ttulo1">
    <w:name w:val="heading 1"/>
    <w:basedOn w:val="Normal"/>
    <w:next w:val="Normal"/>
    <w:link w:val="Ttulo1Car"/>
    <w:uiPriority w:val="9"/>
    <w:qFormat/>
    <w:rsid w:val="007F2A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F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2AC5"/>
    <w:rPr>
      <w:color w:val="0000FF"/>
      <w:u w:val="single"/>
    </w:rPr>
  </w:style>
  <w:style w:type="character" w:customStyle="1" w:styleId="Ttulo1Car">
    <w:name w:val="Título 1 Car"/>
    <w:basedOn w:val="Fuentedeprrafopredeter"/>
    <w:link w:val="Ttulo1"/>
    <w:uiPriority w:val="9"/>
    <w:rsid w:val="007F2AC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F2AC5"/>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7F2AC5"/>
    <w:pPr>
      <w:spacing w:after="0" w:line="240" w:lineRule="auto"/>
    </w:pPr>
  </w:style>
  <w:style w:type="paragraph" w:styleId="Prrafodelista">
    <w:name w:val="List Paragraph"/>
    <w:basedOn w:val="Normal"/>
    <w:uiPriority w:val="34"/>
    <w:qFormat/>
    <w:rsid w:val="00C61719"/>
    <w:pPr>
      <w:ind w:left="720"/>
      <w:contextualSpacing/>
    </w:pPr>
  </w:style>
  <w:style w:type="paragraph" w:styleId="Cita">
    <w:name w:val="Quote"/>
    <w:basedOn w:val="Normal"/>
    <w:link w:val="CitaCar"/>
    <w:uiPriority w:val="29"/>
    <w:qFormat/>
    <w:rsid w:val="00F607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itaCar">
    <w:name w:val="Cita Car"/>
    <w:basedOn w:val="Fuentedeprrafopredeter"/>
    <w:link w:val="Cita"/>
    <w:uiPriority w:val="29"/>
    <w:rsid w:val="00F607AD"/>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7A4B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A4B44"/>
    <w:rPr>
      <w:b/>
      <w:bCs/>
    </w:rPr>
  </w:style>
  <w:style w:type="paragraph" w:styleId="Encabezado">
    <w:name w:val="header"/>
    <w:basedOn w:val="Normal"/>
    <w:link w:val="EncabezadoCar"/>
    <w:uiPriority w:val="99"/>
    <w:unhideWhenUsed/>
    <w:rsid w:val="00F93A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A48"/>
  </w:style>
  <w:style w:type="paragraph" w:styleId="Piedepgina">
    <w:name w:val="footer"/>
    <w:basedOn w:val="Normal"/>
    <w:link w:val="PiedepginaCar"/>
    <w:uiPriority w:val="99"/>
    <w:unhideWhenUsed/>
    <w:rsid w:val="00F93A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A48"/>
  </w:style>
  <w:style w:type="table" w:styleId="Tablaconcuadrcula">
    <w:name w:val="Table Grid"/>
    <w:basedOn w:val="Tablanormal"/>
    <w:uiPriority w:val="59"/>
    <w:rsid w:val="003A5775"/>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A577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3A577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A5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5173">
      <w:bodyDiv w:val="1"/>
      <w:marLeft w:val="0"/>
      <w:marRight w:val="0"/>
      <w:marTop w:val="0"/>
      <w:marBottom w:val="0"/>
      <w:divBdr>
        <w:top w:val="none" w:sz="0" w:space="0" w:color="auto"/>
        <w:left w:val="none" w:sz="0" w:space="0" w:color="auto"/>
        <w:bottom w:val="none" w:sz="0" w:space="0" w:color="auto"/>
        <w:right w:val="none" w:sz="0" w:space="0" w:color="auto"/>
      </w:divBdr>
    </w:div>
    <w:div w:id="277689538">
      <w:bodyDiv w:val="1"/>
      <w:marLeft w:val="0"/>
      <w:marRight w:val="0"/>
      <w:marTop w:val="0"/>
      <w:marBottom w:val="0"/>
      <w:divBdr>
        <w:top w:val="none" w:sz="0" w:space="0" w:color="auto"/>
        <w:left w:val="none" w:sz="0" w:space="0" w:color="auto"/>
        <w:bottom w:val="none" w:sz="0" w:space="0" w:color="auto"/>
        <w:right w:val="none" w:sz="0" w:space="0" w:color="auto"/>
      </w:divBdr>
    </w:div>
    <w:div w:id="335615969">
      <w:bodyDiv w:val="1"/>
      <w:marLeft w:val="0"/>
      <w:marRight w:val="0"/>
      <w:marTop w:val="0"/>
      <w:marBottom w:val="0"/>
      <w:divBdr>
        <w:top w:val="none" w:sz="0" w:space="0" w:color="auto"/>
        <w:left w:val="none" w:sz="0" w:space="0" w:color="auto"/>
        <w:bottom w:val="none" w:sz="0" w:space="0" w:color="auto"/>
        <w:right w:val="none" w:sz="0" w:space="0" w:color="auto"/>
      </w:divBdr>
    </w:div>
    <w:div w:id="369376606">
      <w:bodyDiv w:val="1"/>
      <w:marLeft w:val="0"/>
      <w:marRight w:val="0"/>
      <w:marTop w:val="0"/>
      <w:marBottom w:val="0"/>
      <w:divBdr>
        <w:top w:val="none" w:sz="0" w:space="0" w:color="auto"/>
        <w:left w:val="none" w:sz="0" w:space="0" w:color="auto"/>
        <w:bottom w:val="none" w:sz="0" w:space="0" w:color="auto"/>
        <w:right w:val="none" w:sz="0" w:space="0" w:color="auto"/>
      </w:divBdr>
    </w:div>
    <w:div w:id="452210702">
      <w:bodyDiv w:val="1"/>
      <w:marLeft w:val="0"/>
      <w:marRight w:val="0"/>
      <w:marTop w:val="0"/>
      <w:marBottom w:val="0"/>
      <w:divBdr>
        <w:top w:val="none" w:sz="0" w:space="0" w:color="auto"/>
        <w:left w:val="none" w:sz="0" w:space="0" w:color="auto"/>
        <w:bottom w:val="none" w:sz="0" w:space="0" w:color="auto"/>
        <w:right w:val="none" w:sz="0" w:space="0" w:color="auto"/>
      </w:divBdr>
    </w:div>
    <w:div w:id="583488916">
      <w:bodyDiv w:val="1"/>
      <w:marLeft w:val="0"/>
      <w:marRight w:val="0"/>
      <w:marTop w:val="0"/>
      <w:marBottom w:val="0"/>
      <w:divBdr>
        <w:top w:val="none" w:sz="0" w:space="0" w:color="auto"/>
        <w:left w:val="none" w:sz="0" w:space="0" w:color="auto"/>
        <w:bottom w:val="none" w:sz="0" w:space="0" w:color="auto"/>
        <w:right w:val="none" w:sz="0" w:space="0" w:color="auto"/>
      </w:divBdr>
      <w:divsChild>
        <w:div w:id="2000384050">
          <w:marLeft w:val="0"/>
          <w:marRight w:val="0"/>
          <w:marTop w:val="0"/>
          <w:marBottom w:val="0"/>
          <w:divBdr>
            <w:top w:val="none" w:sz="0" w:space="0" w:color="auto"/>
            <w:left w:val="none" w:sz="0" w:space="0" w:color="auto"/>
            <w:bottom w:val="none" w:sz="0" w:space="0" w:color="auto"/>
            <w:right w:val="none" w:sz="0" w:space="0" w:color="auto"/>
          </w:divBdr>
        </w:div>
        <w:div w:id="1667171281">
          <w:marLeft w:val="0"/>
          <w:marRight w:val="0"/>
          <w:marTop w:val="0"/>
          <w:marBottom w:val="0"/>
          <w:divBdr>
            <w:top w:val="none" w:sz="0" w:space="0" w:color="auto"/>
            <w:left w:val="none" w:sz="0" w:space="0" w:color="auto"/>
            <w:bottom w:val="none" w:sz="0" w:space="0" w:color="auto"/>
            <w:right w:val="none" w:sz="0" w:space="0" w:color="auto"/>
          </w:divBdr>
        </w:div>
        <w:div w:id="36204148">
          <w:marLeft w:val="0"/>
          <w:marRight w:val="0"/>
          <w:marTop w:val="0"/>
          <w:marBottom w:val="0"/>
          <w:divBdr>
            <w:top w:val="none" w:sz="0" w:space="0" w:color="auto"/>
            <w:left w:val="none" w:sz="0" w:space="0" w:color="auto"/>
            <w:bottom w:val="none" w:sz="0" w:space="0" w:color="auto"/>
            <w:right w:val="none" w:sz="0" w:space="0" w:color="auto"/>
          </w:divBdr>
        </w:div>
        <w:div w:id="327439617">
          <w:marLeft w:val="0"/>
          <w:marRight w:val="0"/>
          <w:marTop w:val="0"/>
          <w:marBottom w:val="0"/>
          <w:divBdr>
            <w:top w:val="none" w:sz="0" w:space="0" w:color="auto"/>
            <w:left w:val="none" w:sz="0" w:space="0" w:color="auto"/>
            <w:bottom w:val="none" w:sz="0" w:space="0" w:color="auto"/>
            <w:right w:val="none" w:sz="0" w:space="0" w:color="auto"/>
          </w:divBdr>
        </w:div>
        <w:div w:id="881017601">
          <w:marLeft w:val="0"/>
          <w:marRight w:val="0"/>
          <w:marTop w:val="0"/>
          <w:marBottom w:val="0"/>
          <w:divBdr>
            <w:top w:val="none" w:sz="0" w:space="0" w:color="auto"/>
            <w:left w:val="none" w:sz="0" w:space="0" w:color="auto"/>
            <w:bottom w:val="none" w:sz="0" w:space="0" w:color="auto"/>
            <w:right w:val="none" w:sz="0" w:space="0" w:color="auto"/>
          </w:divBdr>
        </w:div>
        <w:div w:id="187916340">
          <w:marLeft w:val="0"/>
          <w:marRight w:val="0"/>
          <w:marTop w:val="0"/>
          <w:marBottom w:val="0"/>
          <w:divBdr>
            <w:top w:val="none" w:sz="0" w:space="0" w:color="auto"/>
            <w:left w:val="none" w:sz="0" w:space="0" w:color="auto"/>
            <w:bottom w:val="none" w:sz="0" w:space="0" w:color="auto"/>
            <w:right w:val="none" w:sz="0" w:space="0" w:color="auto"/>
          </w:divBdr>
        </w:div>
        <w:div w:id="1184441667">
          <w:marLeft w:val="0"/>
          <w:marRight w:val="0"/>
          <w:marTop w:val="0"/>
          <w:marBottom w:val="0"/>
          <w:divBdr>
            <w:top w:val="none" w:sz="0" w:space="0" w:color="auto"/>
            <w:left w:val="none" w:sz="0" w:space="0" w:color="auto"/>
            <w:bottom w:val="none" w:sz="0" w:space="0" w:color="auto"/>
            <w:right w:val="none" w:sz="0" w:space="0" w:color="auto"/>
          </w:divBdr>
        </w:div>
        <w:div w:id="486825585">
          <w:marLeft w:val="0"/>
          <w:marRight w:val="0"/>
          <w:marTop w:val="0"/>
          <w:marBottom w:val="0"/>
          <w:divBdr>
            <w:top w:val="none" w:sz="0" w:space="0" w:color="auto"/>
            <w:left w:val="none" w:sz="0" w:space="0" w:color="auto"/>
            <w:bottom w:val="none" w:sz="0" w:space="0" w:color="auto"/>
            <w:right w:val="none" w:sz="0" w:space="0" w:color="auto"/>
          </w:divBdr>
        </w:div>
        <w:div w:id="947201908">
          <w:marLeft w:val="0"/>
          <w:marRight w:val="0"/>
          <w:marTop w:val="0"/>
          <w:marBottom w:val="0"/>
          <w:divBdr>
            <w:top w:val="none" w:sz="0" w:space="0" w:color="auto"/>
            <w:left w:val="none" w:sz="0" w:space="0" w:color="auto"/>
            <w:bottom w:val="none" w:sz="0" w:space="0" w:color="auto"/>
            <w:right w:val="none" w:sz="0" w:space="0" w:color="auto"/>
          </w:divBdr>
        </w:div>
      </w:divsChild>
    </w:div>
    <w:div w:id="670334367">
      <w:bodyDiv w:val="1"/>
      <w:marLeft w:val="0"/>
      <w:marRight w:val="0"/>
      <w:marTop w:val="0"/>
      <w:marBottom w:val="0"/>
      <w:divBdr>
        <w:top w:val="none" w:sz="0" w:space="0" w:color="auto"/>
        <w:left w:val="none" w:sz="0" w:space="0" w:color="auto"/>
        <w:bottom w:val="none" w:sz="0" w:space="0" w:color="auto"/>
        <w:right w:val="none" w:sz="0" w:space="0" w:color="auto"/>
      </w:divBdr>
    </w:div>
    <w:div w:id="672104153">
      <w:bodyDiv w:val="1"/>
      <w:marLeft w:val="0"/>
      <w:marRight w:val="0"/>
      <w:marTop w:val="0"/>
      <w:marBottom w:val="0"/>
      <w:divBdr>
        <w:top w:val="none" w:sz="0" w:space="0" w:color="auto"/>
        <w:left w:val="none" w:sz="0" w:space="0" w:color="auto"/>
        <w:bottom w:val="none" w:sz="0" w:space="0" w:color="auto"/>
        <w:right w:val="none" w:sz="0" w:space="0" w:color="auto"/>
      </w:divBdr>
    </w:div>
    <w:div w:id="895050439">
      <w:bodyDiv w:val="1"/>
      <w:marLeft w:val="0"/>
      <w:marRight w:val="0"/>
      <w:marTop w:val="0"/>
      <w:marBottom w:val="0"/>
      <w:divBdr>
        <w:top w:val="none" w:sz="0" w:space="0" w:color="auto"/>
        <w:left w:val="none" w:sz="0" w:space="0" w:color="auto"/>
        <w:bottom w:val="none" w:sz="0" w:space="0" w:color="auto"/>
        <w:right w:val="none" w:sz="0" w:space="0" w:color="auto"/>
      </w:divBdr>
    </w:div>
    <w:div w:id="954794595">
      <w:bodyDiv w:val="1"/>
      <w:marLeft w:val="0"/>
      <w:marRight w:val="0"/>
      <w:marTop w:val="0"/>
      <w:marBottom w:val="0"/>
      <w:divBdr>
        <w:top w:val="none" w:sz="0" w:space="0" w:color="auto"/>
        <w:left w:val="none" w:sz="0" w:space="0" w:color="auto"/>
        <w:bottom w:val="none" w:sz="0" w:space="0" w:color="auto"/>
        <w:right w:val="none" w:sz="0" w:space="0" w:color="auto"/>
      </w:divBdr>
    </w:div>
    <w:div w:id="1205827101">
      <w:bodyDiv w:val="1"/>
      <w:marLeft w:val="0"/>
      <w:marRight w:val="0"/>
      <w:marTop w:val="0"/>
      <w:marBottom w:val="0"/>
      <w:divBdr>
        <w:top w:val="none" w:sz="0" w:space="0" w:color="auto"/>
        <w:left w:val="none" w:sz="0" w:space="0" w:color="auto"/>
        <w:bottom w:val="none" w:sz="0" w:space="0" w:color="auto"/>
        <w:right w:val="none" w:sz="0" w:space="0" w:color="auto"/>
      </w:divBdr>
    </w:div>
    <w:div w:id="1660883459">
      <w:bodyDiv w:val="1"/>
      <w:marLeft w:val="0"/>
      <w:marRight w:val="0"/>
      <w:marTop w:val="0"/>
      <w:marBottom w:val="0"/>
      <w:divBdr>
        <w:top w:val="none" w:sz="0" w:space="0" w:color="auto"/>
        <w:left w:val="none" w:sz="0" w:space="0" w:color="auto"/>
        <w:bottom w:val="none" w:sz="0" w:space="0" w:color="auto"/>
        <w:right w:val="none" w:sz="0" w:space="0" w:color="auto"/>
      </w:divBdr>
      <w:divsChild>
        <w:div w:id="1164080646">
          <w:marLeft w:val="0"/>
          <w:marRight w:val="0"/>
          <w:marTop w:val="0"/>
          <w:marBottom w:val="0"/>
          <w:divBdr>
            <w:top w:val="none" w:sz="0" w:space="0" w:color="auto"/>
            <w:left w:val="none" w:sz="0" w:space="0" w:color="auto"/>
            <w:bottom w:val="none" w:sz="0" w:space="0" w:color="auto"/>
            <w:right w:val="none" w:sz="0" w:space="0" w:color="auto"/>
          </w:divBdr>
        </w:div>
      </w:divsChild>
    </w:div>
    <w:div w:id="1694381725">
      <w:bodyDiv w:val="1"/>
      <w:marLeft w:val="0"/>
      <w:marRight w:val="0"/>
      <w:marTop w:val="0"/>
      <w:marBottom w:val="0"/>
      <w:divBdr>
        <w:top w:val="none" w:sz="0" w:space="0" w:color="auto"/>
        <w:left w:val="none" w:sz="0" w:space="0" w:color="auto"/>
        <w:bottom w:val="none" w:sz="0" w:space="0" w:color="auto"/>
        <w:right w:val="none" w:sz="0" w:space="0" w:color="auto"/>
      </w:divBdr>
    </w:div>
    <w:div w:id="16954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9688-2B61-4AF4-8ED2-EF6CBA7F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11</Pages>
  <Words>3247</Words>
  <Characters>17863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13</cp:revision>
  <cp:lastPrinted>2022-10-18T17:24:00Z</cp:lastPrinted>
  <dcterms:created xsi:type="dcterms:W3CDTF">2022-10-17T03:20:00Z</dcterms:created>
  <dcterms:modified xsi:type="dcterms:W3CDTF">2022-10-18T18:32:00Z</dcterms:modified>
</cp:coreProperties>
</file>